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textAlignment w:val="auto"/>
        <w:rPr>
          <w:rFonts w:hint="eastAsia" w:ascii="Times New Roman" w:hAnsi="Times New Roman" w:eastAsia="方正小标宋简体"/>
          <w:sz w:val="44"/>
          <w:szCs w:val="44"/>
        </w:rPr>
      </w:pP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关于明确佛山市级非营利组织免税资格认定</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管理有关问题的通知（2024年修订）</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（征求意见稿）</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textAlignment w:val="auto"/>
        <w:rPr>
          <w:rFonts w:hint="eastAsia" w:ascii="Times New Roman" w:hAnsi="Times New Roman"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为进一步加强和规范非营利组织免税资格认定管理工作，根据《财政部 税务总局关于非营利组织免税资格认定管理有关问题的通知》（财税〔2018〕13号）的有关规定，结合我市的实际，现对我市非营利组织免税资格认定管理工作通知如下：</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黑体" w:cs="Times New Roman"/>
          <w:sz w:val="32"/>
          <w:szCs w:val="32"/>
        </w:rPr>
      </w:pPr>
      <w:r>
        <w:rPr>
          <w:rFonts w:ascii="Times New Roman" w:hAnsi="Times New Roman" w:eastAsia="黑体" w:cs="Times New Roman"/>
          <w:b/>
          <w:sz w:val="32"/>
          <w:szCs w:val="32"/>
        </w:rPr>
        <w:t>一、</w:t>
      </w:r>
      <w:r>
        <w:rPr>
          <w:rFonts w:ascii="Times New Roman" w:hAnsi="Times New Roman" w:eastAsia="黑体" w:cs="Times New Roman"/>
          <w:sz w:val="32"/>
          <w:szCs w:val="32"/>
        </w:rPr>
        <w:t>明确认定职责</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根据财税〔2018〕13号文规定，对非营利组织免税资格认定的管理，实行层级负责制，经市级登记管理机关批准设立或登记的非营利组织，凡符合规定条件的，由市财政局、市税务局联合认定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经区级登记管理机关批准设立或登记的非营利组织，凡符合规定条件的，由区财政局、区税务局联合认定。</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二、免税资格条件</w:t>
      </w:r>
    </w:p>
    <w:p>
      <w:pPr>
        <w:pStyle w:val="13"/>
        <w:keepNext w:val="0"/>
        <w:keepLines w:val="0"/>
        <w:pageBreakBefore w:val="0"/>
        <w:kinsoku/>
        <w:wordWrap/>
        <w:overflowPunct/>
        <w:topLinePunct w:val="0"/>
        <w:autoSpaceDE/>
        <w:autoSpaceDN/>
        <w:bidi w:val="0"/>
        <w:adjustRightInd/>
        <w:snapToGrid/>
        <w:spacing w:before="0" w:after="0" w:line="520" w:lineRule="exact"/>
        <w:ind w:firstLine="640" w:firstLineChars="200"/>
        <w:jc w:val="both"/>
        <w:textAlignment w:val="auto"/>
        <w:rPr>
          <w:rFonts w:ascii="Times New Roman" w:hAnsi="Times New Roman" w:eastAsia="仿宋_GB2312"/>
          <w:szCs w:val="32"/>
        </w:rPr>
      </w:pPr>
      <w:r>
        <w:rPr>
          <w:rFonts w:ascii="Times New Roman" w:hAnsi="Times New Roman" w:eastAsia="仿宋_GB2312"/>
          <w:szCs w:val="32"/>
        </w:rPr>
        <w:t>符合条件的非营利组织，是指同时满足财税〔2018〕13号文第一条所列</w:t>
      </w:r>
      <w:r>
        <w:rPr>
          <w:rFonts w:hint="eastAsia" w:ascii="Times New Roman" w:hAnsi="Times New Roman" w:eastAsia="仿宋_GB2312"/>
          <w:szCs w:val="32"/>
        </w:rPr>
        <w:t>8</w:t>
      </w:r>
      <w:r>
        <w:rPr>
          <w:rFonts w:ascii="Times New Roman" w:hAnsi="Times New Roman" w:eastAsia="仿宋_GB2312"/>
          <w:szCs w:val="32"/>
        </w:rPr>
        <w:t>个条件的非营利组织。</w:t>
      </w:r>
    </w:p>
    <w:p>
      <w:pPr>
        <w:pStyle w:val="13"/>
        <w:keepNext w:val="0"/>
        <w:keepLines w:val="0"/>
        <w:pageBreakBefore w:val="0"/>
        <w:kinsoku/>
        <w:wordWrap/>
        <w:overflowPunct/>
        <w:topLinePunct w:val="0"/>
        <w:autoSpaceDE/>
        <w:autoSpaceDN/>
        <w:bidi w:val="0"/>
        <w:adjustRightInd/>
        <w:snapToGrid/>
        <w:spacing w:before="0" w:after="0" w:line="520" w:lineRule="exact"/>
        <w:ind w:firstLine="640" w:firstLineChars="200"/>
        <w:jc w:val="both"/>
        <w:textAlignment w:val="auto"/>
        <w:rPr>
          <w:rFonts w:ascii="Times New Roman" w:hAnsi="Times New Roman"/>
          <w:szCs w:val="32"/>
        </w:rPr>
      </w:pPr>
      <w:r>
        <w:rPr>
          <w:rFonts w:ascii="Times New Roman" w:hAnsi="Times New Roman"/>
          <w:szCs w:val="32"/>
        </w:rPr>
        <w:t>三、申请需提交的资料</w:t>
      </w:r>
    </w:p>
    <w:p>
      <w:pPr>
        <w:pStyle w:val="13"/>
        <w:keepNext w:val="0"/>
        <w:keepLines w:val="0"/>
        <w:pageBreakBefore w:val="0"/>
        <w:kinsoku/>
        <w:wordWrap/>
        <w:overflowPunct/>
        <w:topLinePunct w:val="0"/>
        <w:autoSpaceDE/>
        <w:autoSpaceDN/>
        <w:bidi w:val="0"/>
        <w:adjustRightInd/>
        <w:snapToGrid/>
        <w:spacing w:before="0" w:after="0" w:line="520" w:lineRule="exact"/>
        <w:ind w:firstLine="640" w:firstLineChars="200"/>
        <w:jc w:val="both"/>
        <w:textAlignment w:val="auto"/>
        <w:rPr>
          <w:rFonts w:ascii="Times New Roman" w:hAnsi="Times New Roman" w:eastAsia="仿宋_GB2312"/>
          <w:szCs w:val="32"/>
        </w:rPr>
      </w:pPr>
      <w:r>
        <w:rPr>
          <w:rFonts w:ascii="Times New Roman" w:hAnsi="Times New Roman" w:eastAsia="仿宋_GB2312"/>
          <w:szCs w:val="32"/>
        </w:rPr>
        <w:t>（一）申请单位需向</w:t>
      </w:r>
      <w:r>
        <w:rPr>
          <w:rFonts w:hint="eastAsia" w:ascii="Times New Roman" w:hAnsi="Times New Roman" w:eastAsia="仿宋_GB2312"/>
          <w:szCs w:val="32"/>
        </w:rPr>
        <w:t>受理</w:t>
      </w:r>
      <w:r>
        <w:rPr>
          <w:rFonts w:ascii="Times New Roman" w:hAnsi="Times New Roman" w:eastAsia="仿宋_GB2312"/>
          <w:szCs w:val="32"/>
        </w:rPr>
        <w:t>机关提交以下资料：</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佛山市非营利组织</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年度免税资格申请表</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关于</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年度非营利组织免税资格认定的申请报告</w:t>
      </w:r>
      <w:r>
        <w:rPr>
          <w:rFonts w:ascii="Times New Roman" w:hAnsi="Times New Roman" w:eastAsia="仿宋_GB2312"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6" w:right="36"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3.事业单位、社会团体、基金会、社会服务机构的组织章程或宗教活动场所</w:t>
      </w:r>
      <w:r>
        <w:rPr>
          <w:rFonts w:hint="eastAsia" w:ascii="Times New Roman" w:hAnsi="Times New Roman" w:eastAsia="仿宋_GB2312" w:cs="Times New Roman"/>
          <w:sz w:val="32"/>
          <w:szCs w:val="32"/>
        </w:rPr>
        <w:t>、宗教院校</w:t>
      </w:r>
      <w:r>
        <w:rPr>
          <w:rFonts w:ascii="Times New Roman" w:hAnsi="Times New Roman" w:eastAsia="仿宋_GB2312" w:cs="Times New Roman"/>
          <w:sz w:val="32"/>
          <w:szCs w:val="32"/>
        </w:rPr>
        <w:t>的管理制度；</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6" w:right="36"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4.非营利组织注册登记证件的复印件（正反面）；</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6" w:right="36" w:firstLine="640" w:firstLineChars="200"/>
        <w:jc w:val="both"/>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5.上一年度的</w:t>
      </w:r>
      <w:r>
        <w:rPr>
          <w:rFonts w:ascii="Times New Roman" w:hAnsi="Times New Roman" w:eastAsia="仿宋_GB2312" w:cs="Times New Roman"/>
          <w:sz w:val="32"/>
          <w:szCs w:val="32"/>
          <w:highlight w:val="none"/>
        </w:rPr>
        <w:t>资金来源及使用情况、公益活动和非营利活动的明细情况（例如：申请20</w:t>
      </w:r>
      <w:r>
        <w:rPr>
          <w:rFonts w:hint="eastAsia" w:ascii="Times New Roman" w:hAnsi="Times New Roman" w:eastAsia="仿宋_GB2312" w:cs="Times New Roman"/>
          <w:sz w:val="32"/>
          <w:szCs w:val="32"/>
          <w:highlight w:val="none"/>
          <w:lang w:val="en-US" w:eastAsia="zh-CN"/>
        </w:rPr>
        <w:t>24</w:t>
      </w: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年度免税资格的</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提供20</w:t>
      </w:r>
      <w:r>
        <w:rPr>
          <w:rFonts w:hint="eastAsia" w:ascii="Times New Roman" w:hAnsi="Times New Roman" w:eastAsia="仿宋_GB2312" w:cs="Times New Roman"/>
          <w:sz w:val="32"/>
          <w:szCs w:val="32"/>
          <w:highlight w:val="none"/>
          <w:lang w:val="en-US" w:eastAsia="zh-CN"/>
        </w:rPr>
        <w:t>23</w:t>
      </w:r>
      <w:r>
        <w:rPr>
          <w:rFonts w:ascii="Times New Roman" w:hAnsi="Times New Roman" w:eastAsia="仿宋_GB2312" w:cs="Times New Roman"/>
          <w:sz w:val="32"/>
          <w:szCs w:val="32"/>
          <w:highlight w:val="none"/>
        </w:rPr>
        <w:t xml:space="preserve">年的情况）；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6" w:right="36"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6.上一年度工资薪金情况专项报告，包括薪酬制度、工作人员整体平均工资薪金水平、工资福利占总支出比例、重要人员工资薪金信息（至少包括工资薪金水平排名前10的人员）；</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6" w:right="36"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7.具有资质的中介机构鉴证的上一年度财务报表和审计报告（注：具有资质的中介机构必须对财税〔2018〕13号第一条第（七）、第（八）款规定的内容进行鉴证，并将结论在审计报告中披露）；</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6" w:right="36" w:firstLine="640" w:firstLineChars="200"/>
        <w:jc w:val="both"/>
        <w:textAlignment w:val="auto"/>
        <w:rPr>
          <w:rFonts w:ascii="Times New Roman" w:hAnsi="Times New Roman" w:eastAsia="仿宋_GB2312" w:cs="Times New Roman"/>
          <w:color w:val="313131"/>
          <w:kern w:val="0"/>
          <w:sz w:val="32"/>
          <w:szCs w:val="32"/>
        </w:rPr>
      </w:pPr>
      <w:r>
        <w:rPr>
          <w:rFonts w:ascii="Times New Roman" w:hAnsi="Times New Roman" w:eastAsia="仿宋_GB2312" w:cs="Times New Roman"/>
          <w:sz w:val="32"/>
          <w:szCs w:val="32"/>
        </w:rPr>
        <w:t xml:space="preserve">8.登记管理机关出具的事业单位、社会团体、基金会、社会服务机构、宗教院校上一年度符合相关法律法规和国家政策的事业发展情况或非营利活动的材料； </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9.财政、税务部门要求提供的其他材料。</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当年新设立或登记的非营利组织需提供本</w:t>
      </w:r>
      <w:r>
        <w:rPr>
          <w:rFonts w:hint="eastAsia" w:ascii="Times New Roman" w:hAnsi="Times New Roman" w:eastAsia="仿宋_GB2312" w:cs="Times New Roman"/>
          <w:sz w:val="32"/>
          <w:szCs w:val="32"/>
          <w:lang w:eastAsia="zh-CN"/>
        </w:rPr>
        <w:t>款</w:t>
      </w:r>
      <w:r>
        <w:rPr>
          <w:rFonts w:ascii="Times New Roman" w:hAnsi="Times New Roman" w:eastAsia="仿宋_GB2312" w:cs="Times New Roman"/>
          <w:sz w:val="32"/>
          <w:szCs w:val="32"/>
        </w:rPr>
        <w:t>第1项至第4项规定的材料及本条第5项、第6项规定的申请当年的材料，不需要提供第7项、第8项规定的材料。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6" w:right="36" w:firstLine="640" w:firstLineChars="200"/>
        <w:jc w:val="both"/>
        <w:textAlignment w:val="auto"/>
        <w:rPr>
          <w:rFonts w:ascii="Times New Roman" w:hAnsi="Times New Roman" w:eastAsia="仿宋_GB2312" w:cs="Times New Roman"/>
          <w:color w:val="313131"/>
          <w:kern w:val="0"/>
          <w:sz w:val="32"/>
          <w:szCs w:val="32"/>
        </w:rPr>
      </w:pPr>
      <w:r>
        <w:rPr>
          <w:rFonts w:ascii="Times New Roman" w:hAnsi="Times New Roman" w:eastAsia="仿宋_GB2312" w:cs="Times New Roman"/>
          <w:sz w:val="32"/>
          <w:szCs w:val="32"/>
        </w:rPr>
        <w:t>（二）申请单位提交</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color w:val="313131"/>
          <w:kern w:val="0"/>
          <w:sz w:val="32"/>
          <w:szCs w:val="32"/>
        </w:rPr>
        <w:t>所有申请材料均需加盖单位公章</w:t>
      </w:r>
      <w:r>
        <w:rPr>
          <w:rFonts w:hint="eastAsia" w:ascii="Times New Roman" w:hAnsi="Times New Roman" w:eastAsia="仿宋_GB2312" w:cs="Times New Roman"/>
          <w:color w:val="313131"/>
          <w:kern w:val="0"/>
          <w:sz w:val="32"/>
          <w:szCs w:val="32"/>
          <w:lang w:eastAsia="zh-CN"/>
        </w:rPr>
        <w:t>，</w:t>
      </w:r>
      <w:r>
        <w:rPr>
          <w:rFonts w:hint="eastAsia" w:ascii="Times New Roman" w:hAnsi="Times New Roman" w:eastAsia="仿宋_GB2312" w:cs="Times New Roman"/>
          <w:color w:val="313131"/>
          <w:kern w:val="0"/>
          <w:sz w:val="32"/>
          <w:szCs w:val="32"/>
          <w:lang w:val="en-US" w:eastAsia="zh-CN"/>
        </w:rPr>
        <w:t>必要时需提供材料原件</w:t>
      </w:r>
      <w:r>
        <w:rPr>
          <w:rFonts w:ascii="Times New Roman" w:hAnsi="Times New Roman" w:eastAsia="仿宋_GB2312" w:cs="Times New Roman"/>
          <w:color w:val="313131"/>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6" w:right="36" w:firstLine="640" w:firstLineChars="200"/>
        <w:jc w:val="both"/>
        <w:textAlignment w:val="auto"/>
        <w:rPr>
          <w:rFonts w:ascii="Times New Roman" w:hAnsi="Times New Roman" w:eastAsia="黑体" w:cs="Times New Roman"/>
          <w:color w:val="313131"/>
          <w:kern w:val="0"/>
          <w:sz w:val="32"/>
          <w:szCs w:val="32"/>
        </w:rPr>
      </w:pPr>
      <w:r>
        <w:rPr>
          <w:rFonts w:ascii="Times New Roman" w:hAnsi="Times New Roman" w:eastAsia="黑体" w:cs="Times New Roman"/>
          <w:sz w:val="32"/>
          <w:szCs w:val="32"/>
        </w:rPr>
        <w:t>四、受理机关的确定</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市级非营利组织免税资格认定的受理机关为市税务局。</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五、受理的时限</w:t>
      </w:r>
      <w:r>
        <w:rPr>
          <w:rFonts w:ascii="Times New Roman" w:hAnsi="Times New Roman" w:eastAsia="黑体" w:cs="Times New Roman"/>
          <w:sz w:val="32"/>
          <w:szCs w:val="32"/>
        </w:rPr>
        <w:br w:type="textWrapping"/>
      </w:r>
      <w:r>
        <w:rPr>
          <w:rFonts w:ascii="Times New Roman" w:hAnsi="Times New Roman" w:eastAsia="仿宋_GB2312" w:cs="Times New Roman"/>
          <w:sz w:val="32"/>
          <w:szCs w:val="32"/>
        </w:rPr>
        <w:t>　　申请免税资格认定的非营利组织</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于每季度的第3个月（即3、6、9、12月）的1-10日在“佛山扶持通”上</w:t>
      </w:r>
      <w:r>
        <w:rPr>
          <w:rFonts w:ascii="Times New Roman" w:hAnsi="Times New Roman" w:eastAsia="仿宋_GB2312" w:cs="Times New Roman"/>
          <w:sz w:val="32"/>
          <w:szCs w:val="32"/>
          <w:highlight w:val="none"/>
        </w:rPr>
        <w:t>提</w:t>
      </w:r>
      <w:r>
        <w:rPr>
          <w:rFonts w:hint="eastAsia" w:ascii="Times New Roman" w:hAnsi="Times New Roman" w:eastAsia="仿宋_GB2312" w:cs="Times New Roman"/>
          <w:sz w:val="32"/>
          <w:szCs w:val="32"/>
          <w:highlight w:val="none"/>
          <w:lang w:eastAsia="zh-CN"/>
        </w:rPr>
        <w:t>交</w:t>
      </w:r>
      <w:r>
        <w:rPr>
          <w:rFonts w:ascii="Times New Roman" w:hAnsi="Times New Roman" w:eastAsia="仿宋_GB2312" w:cs="Times New Roman"/>
          <w:sz w:val="32"/>
          <w:szCs w:val="32"/>
          <w:highlight w:val="none"/>
        </w:rPr>
        <w:t>申请</w:t>
      </w:r>
      <w:r>
        <w:rPr>
          <w:rFonts w:ascii="Times New Roman" w:hAnsi="Times New Roman" w:eastAsia="仿宋_GB2312" w:cs="Times New Roman"/>
          <w:sz w:val="32"/>
          <w:szCs w:val="32"/>
        </w:rPr>
        <w:t>，并提供规定的相关资料</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认定机关按季对非营利组织进行审核确认，并予以公布。</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非营利组织应在免税优惠资格期满后六个月内提出复审申请，复审申请期间纳税人可暂按原免税资格享受税收优惠。不提出复审申请或复审不合格的，其享受免税优惠的资格到期自动失效，纳税人应补缴其超期享受的减免税额。</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六、受理的程序</w:t>
      </w:r>
      <w:r>
        <w:rPr>
          <w:rFonts w:ascii="Times New Roman" w:hAnsi="Times New Roman" w:eastAsia="黑体" w:cs="Times New Roman"/>
          <w:sz w:val="32"/>
          <w:szCs w:val="32"/>
        </w:rPr>
        <w:br w:type="textWrapping"/>
      </w:r>
      <w:r>
        <w:rPr>
          <w:rFonts w:ascii="Times New Roman" w:hAnsi="Times New Roman" w:eastAsia="仿宋_GB2312" w:cs="Times New Roman"/>
          <w:sz w:val="32"/>
          <w:szCs w:val="32"/>
        </w:rPr>
        <w:t>　　（一）经市级登记管理机关批准设立或登记的非营利组织，凡同时符合财税〔2018〕13号文规定条件的，应</w:t>
      </w:r>
      <w:r>
        <w:rPr>
          <w:rFonts w:hint="eastAsia" w:ascii="Times New Roman" w:hAnsi="Times New Roman" w:eastAsia="仿宋_GB2312" w:cs="Times New Roman"/>
          <w:sz w:val="32"/>
          <w:szCs w:val="32"/>
          <w:lang w:eastAsia="zh-CN"/>
        </w:rPr>
        <w:t>在</w:t>
      </w:r>
      <w:r>
        <w:rPr>
          <w:rFonts w:hint="eastAsia" w:ascii="Times New Roman" w:hAnsi="Times New Roman" w:eastAsia="仿宋_GB2312" w:cs="Times New Roman"/>
          <w:sz w:val="32"/>
          <w:szCs w:val="32"/>
          <w:highlight w:val="none"/>
          <w:lang w:val="en-US" w:eastAsia="zh-CN"/>
        </w:rPr>
        <w:t>“佛山扶持通”上</w:t>
      </w:r>
      <w:r>
        <w:rPr>
          <w:rFonts w:ascii="Times New Roman" w:hAnsi="Times New Roman" w:eastAsia="仿宋_GB2312" w:cs="Times New Roman"/>
          <w:sz w:val="32"/>
          <w:szCs w:val="32"/>
        </w:rPr>
        <w:t>向受理机关递交非营利组织免税资格申请。</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（二）受理机关受理非营利组织免税资格申请时，应认真核实资料是否齐全。对资料齐全的，应当即时受理</w:t>
      </w:r>
      <w:r>
        <w:rPr>
          <w:rFonts w:hint="eastAsia" w:ascii="Times New Roman" w:hAnsi="Times New Roman" w:eastAsia="仿宋_GB2312" w:cs="Times New Roman"/>
          <w:sz w:val="32"/>
          <w:szCs w:val="32"/>
        </w:rPr>
        <w:t>，并及时</w:t>
      </w:r>
      <w:r>
        <w:rPr>
          <w:rFonts w:ascii="Times New Roman" w:hAnsi="Times New Roman" w:eastAsia="仿宋_GB2312" w:cs="Times New Roman"/>
          <w:sz w:val="32"/>
          <w:szCs w:val="32"/>
        </w:rPr>
        <w:t>转送</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）认定机关对非营利组织享受免税资格联合进行审核认定，并于每季结束前以正式文件形式予以公布。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七、其他事项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（一）财税〔2018〕13号文第一条认定条件中的第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款</w:t>
      </w:r>
      <w:r>
        <w:rPr>
          <w:rFonts w:ascii="Times New Roman" w:hAnsi="Times New Roman" w:eastAsia="仿宋_GB2312" w:cs="Times New Roman"/>
          <w:sz w:val="32"/>
          <w:szCs w:val="32"/>
        </w:rPr>
        <w:t>所称的“税务登记所在地的地市级（含地市级）以上地区的同行业同类组织平均工资水平”，</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按照我市统计局公布的统计年鉴中的“在岗职工年人均工资”表中的对应行业对应组织工资水平确认。</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（二）非营利组织免税优惠资格的有效期为</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年，非营利组织免税资格复审，按照初次申请免税优惠资格的规定办理。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（三）非营利组织免税的法律责任及取消免税资格的规定按财税〔2018〕13号文第五、六</w:t>
      </w:r>
      <w:r>
        <w:rPr>
          <w:rFonts w:hint="eastAsia" w:ascii="Times New Roman" w:hAnsi="Times New Roman" w:eastAsia="仿宋_GB2312" w:cs="Times New Roman"/>
          <w:sz w:val="32"/>
          <w:szCs w:val="32"/>
        </w:rPr>
        <w:t>条</w:t>
      </w:r>
      <w:r>
        <w:rPr>
          <w:rFonts w:ascii="Times New Roman" w:hAnsi="Times New Roman" w:eastAsia="仿宋_GB2312" w:cs="Times New Roman"/>
          <w:sz w:val="32"/>
          <w:szCs w:val="32"/>
        </w:rPr>
        <w:t>执行，请有关非营利组织知悉和遵守有关规定。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（四）各区对非营利组织的认定受理办法，可参照上述规定执行。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本通知自</w:t>
      </w:r>
      <w:r>
        <w:rPr>
          <w:rFonts w:hint="eastAsia"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rPr>
        <w:t>年  月  日执行（与印发日相差30日），有效期5年。《佛山市财政局 国家税务总局佛山市税务局关于明确佛山市级非营利组织免税资格认定管理有关问题的通知》（佛财法〔201</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同时废止。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各区在实际工作中碰到问题，请及时向市财政局、市税务局反映。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附件：1.佛山市非营利组织</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年度免税资格申请表</w:t>
      </w:r>
    </w:p>
    <w:p>
      <w:pPr>
        <w:keepNext w:val="0"/>
        <w:keepLines w:val="0"/>
        <w:pageBreakBefore w:val="0"/>
        <w:tabs>
          <w:tab w:val="left" w:pos="2016"/>
        </w:tabs>
        <w:kinsoku/>
        <w:wordWrap/>
        <w:overflowPunct/>
        <w:topLinePunct w:val="0"/>
        <w:autoSpaceDE/>
        <w:autoSpaceDN/>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w:t>
      </w:r>
      <w:r>
        <w:rPr>
          <w:rFonts w:hint="eastAsia" w:ascii="Times New Roman" w:hAnsi="Times New Roman" w:eastAsia="仿宋_GB2312" w:cs="Times New Roman"/>
          <w:sz w:val="32"/>
          <w:szCs w:val="32"/>
        </w:rPr>
        <w:t>关于</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年度非营利组织免税资格认定的申请报告</w:t>
      </w:r>
    </w:p>
    <w:p>
      <w:pPr>
        <w:keepNext w:val="0"/>
        <w:keepLines w:val="0"/>
        <w:pageBreakBefore w:val="0"/>
        <w:kinsoku/>
        <w:wordWrap/>
        <w:overflowPunct/>
        <w:topLinePunct w:val="0"/>
        <w:autoSpaceDE/>
        <w:autoSpaceDN/>
        <w:bidi w:val="0"/>
        <w:adjustRightInd/>
        <w:snapToGrid/>
        <w:spacing w:line="520" w:lineRule="exact"/>
        <w:ind w:firstLine="800" w:firstLineChars="25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3.财政部 税务总局关于非营利组织免税资格认定管</w:t>
      </w:r>
    </w:p>
    <w:p>
      <w:pPr>
        <w:keepNext w:val="0"/>
        <w:keepLines w:val="0"/>
        <w:pageBreakBefore w:val="0"/>
        <w:kinsoku/>
        <w:wordWrap/>
        <w:overflowPunct/>
        <w:topLinePunct w:val="0"/>
        <w:autoSpaceDE/>
        <w:autoSpaceDN/>
        <w:bidi w:val="0"/>
        <w:adjustRightInd/>
        <w:snapToGrid/>
        <w:spacing w:line="520" w:lineRule="exact"/>
        <w:ind w:firstLine="1760" w:firstLineChars="55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理有关问题的通知（财税〔2018〕13号）</w:t>
      </w:r>
    </w:p>
    <w:p>
      <w:pPr>
        <w:keepNext w:val="0"/>
        <w:keepLines w:val="0"/>
        <w:pageBreakBefore w:val="0"/>
        <w:kinsoku/>
        <w:wordWrap/>
        <w:overflowPunct/>
        <w:topLinePunct w:val="0"/>
        <w:autoSpaceDE/>
        <w:autoSpaceDN/>
        <w:bidi w:val="0"/>
        <w:adjustRightInd/>
        <w:snapToGrid/>
        <w:spacing w:line="520" w:lineRule="exact"/>
        <w:textAlignment w:val="auto"/>
        <w:rPr>
          <w:rFonts w:ascii="Times New Roman" w:hAnsi="Times New Roman" w:eastAsia="宋体" w:cs="Times New Roman"/>
          <w:szCs w:val="32"/>
        </w:rPr>
      </w:pPr>
      <w:r>
        <w:rPr>
          <w:rFonts w:ascii="Times New Roman" w:hAnsi="Times New Roman" w:cs="Times New Roman"/>
          <w:szCs w:val="32"/>
        </w:rPr>
        <w:t xml:space="preserve">          </w:t>
      </w:r>
    </w:p>
    <w:p>
      <w:pPr>
        <w:pStyle w:val="13"/>
        <w:keepNext w:val="0"/>
        <w:keepLines w:val="0"/>
        <w:pageBreakBefore w:val="0"/>
        <w:kinsoku/>
        <w:wordWrap/>
        <w:overflowPunct/>
        <w:topLinePunct w:val="0"/>
        <w:autoSpaceDE/>
        <w:autoSpaceDN/>
        <w:bidi w:val="0"/>
        <w:adjustRightInd/>
        <w:snapToGrid/>
        <w:spacing w:before="0" w:after="0" w:line="520" w:lineRule="exact"/>
        <w:ind w:firstLine="643" w:firstLineChars="200"/>
        <w:jc w:val="both"/>
        <w:textAlignment w:val="auto"/>
        <w:rPr>
          <w:rFonts w:ascii="Times New Roman" w:hAnsi="Times New Roman" w:eastAsia="仿宋_GB2312"/>
          <w:b/>
          <w:szCs w:val="32"/>
        </w:rPr>
      </w:pPr>
    </w:p>
    <w:p>
      <w:pPr>
        <w:pStyle w:val="13"/>
        <w:keepNext w:val="0"/>
        <w:keepLines w:val="0"/>
        <w:pageBreakBefore w:val="0"/>
        <w:kinsoku/>
        <w:wordWrap/>
        <w:overflowPunct/>
        <w:topLinePunct w:val="0"/>
        <w:autoSpaceDE/>
        <w:autoSpaceDN/>
        <w:bidi w:val="0"/>
        <w:adjustRightInd/>
        <w:snapToGrid/>
        <w:spacing w:before="0" w:after="0" w:line="520" w:lineRule="exact"/>
        <w:ind w:firstLine="643" w:firstLineChars="200"/>
        <w:jc w:val="both"/>
        <w:textAlignment w:val="auto"/>
        <w:rPr>
          <w:rFonts w:ascii="Times New Roman" w:hAnsi="Times New Roman" w:eastAsia="仿宋_GB2312"/>
          <w:b/>
          <w:szCs w:val="32"/>
        </w:rPr>
      </w:pPr>
    </w:p>
    <w:p>
      <w:pPr>
        <w:pStyle w:val="13"/>
        <w:keepNext w:val="0"/>
        <w:keepLines w:val="0"/>
        <w:pageBreakBefore w:val="0"/>
        <w:kinsoku/>
        <w:wordWrap/>
        <w:overflowPunct/>
        <w:topLinePunct w:val="0"/>
        <w:autoSpaceDE/>
        <w:autoSpaceDN/>
        <w:bidi w:val="0"/>
        <w:adjustRightInd/>
        <w:snapToGrid/>
        <w:spacing w:before="0" w:after="0" w:line="520" w:lineRule="exact"/>
        <w:ind w:firstLine="1120" w:firstLineChars="350"/>
        <w:jc w:val="both"/>
        <w:textAlignment w:val="auto"/>
        <w:rPr>
          <w:rFonts w:ascii="Times New Roman" w:hAnsi="Times New Roman" w:eastAsia="仿宋_GB2312"/>
          <w:szCs w:val="32"/>
        </w:rPr>
      </w:pPr>
      <w:r>
        <w:rPr>
          <w:rFonts w:ascii="Times New Roman" w:hAnsi="Times New Roman" w:eastAsia="仿宋_GB2312"/>
          <w:szCs w:val="32"/>
        </w:rPr>
        <w:t>佛山市财政局        国家税务总局佛山市税务局</w:t>
      </w:r>
    </w:p>
    <w:p>
      <w:pPr>
        <w:pStyle w:val="13"/>
        <w:keepNext w:val="0"/>
        <w:keepLines w:val="0"/>
        <w:pageBreakBefore w:val="0"/>
        <w:kinsoku/>
        <w:wordWrap/>
        <w:overflowPunct/>
        <w:topLinePunct w:val="0"/>
        <w:autoSpaceDE/>
        <w:autoSpaceDN/>
        <w:bidi w:val="0"/>
        <w:adjustRightInd/>
        <w:snapToGrid/>
        <w:spacing w:before="0" w:after="0" w:line="520" w:lineRule="exact"/>
        <w:ind w:firstLine="640" w:firstLineChars="200"/>
        <w:jc w:val="both"/>
        <w:textAlignment w:val="auto"/>
        <w:rPr>
          <w:rFonts w:ascii="Times New Roman" w:hAnsi="Times New Roman" w:eastAsia="仿宋_GB231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Borders>
            <w:top w:val="none" w:color="auto" w:sz="0" w:space="0"/>
            <w:left w:val="none" w:color="auto" w:sz="0" w:space="0"/>
            <w:bottom w:val="none" w:color="auto" w:sz="0" w:space="0"/>
            <w:right w:val="none" w:color="auto" w:sz="0" w:space="0"/>
          </w:pgBorders>
          <w:pgNumType w:fmt="numberInDash" w:start="3"/>
          <w:cols w:space="425" w:num="1"/>
          <w:docGrid w:type="lines" w:linePitch="312" w:charSpace="0"/>
        </w:sectPr>
      </w:pPr>
      <w:r>
        <w:rPr>
          <w:rFonts w:ascii="Times New Roman" w:hAnsi="Times New Roman" w:eastAsia="仿宋_GB2312"/>
          <w:szCs w:val="32"/>
        </w:rPr>
        <w:t xml:space="preserve">                            20</w:t>
      </w:r>
      <w:r>
        <w:rPr>
          <w:rFonts w:hint="eastAsia" w:ascii="Times New Roman" w:hAnsi="Times New Roman" w:eastAsia="仿宋_GB2312"/>
          <w:szCs w:val="32"/>
          <w:lang w:val="en-US" w:eastAsia="zh-CN"/>
        </w:rPr>
        <w:t>24</w:t>
      </w:r>
      <w:r>
        <w:rPr>
          <w:rFonts w:ascii="Times New Roman" w:hAnsi="Times New Roman" w:eastAsia="仿宋_GB2312"/>
          <w:szCs w:val="32"/>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附件1</w:t>
      </w:r>
    </w:p>
    <w:p>
      <w:pPr>
        <w:spacing w:line="576" w:lineRule="exact"/>
        <w:jc w:val="center"/>
        <w:rPr>
          <w:rFonts w:ascii="Times New Roman" w:hAnsi="Times New Roman" w:cs="Times New Roman"/>
          <w:b/>
          <w:color w:val="000000"/>
          <w:kern w:val="0"/>
          <w:sz w:val="36"/>
          <w:szCs w:val="36"/>
        </w:rPr>
      </w:pPr>
      <w:r>
        <w:rPr>
          <w:rFonts w:ascii="Times New Roman" w:hAnsi="Times New Roman" w:cs="Times New Roman"/>
          <w:b/>
          <w:color w:val="000000"/>
          <w:kern w:val="0"/>
          <w:sz w:val="36"/>
          <w:szCs w:val="36"/>
        </w:rPr>
        <w:t>佛山市非营利组织</w:t>
      </w:r>
      <w:r>
        <w:rPr>
          <w:rFonts w:ascii="Times New Roman" w:hAnsi="Times New Roman" w:cs="Times New Roman"/>
          <w:color w:val="000000"/>
          <w:szCs w:val="32"/>
        </w:rPr>
        <w:t>____</w:t>
      </w:r>
      <w:r>
        <w:rPr>
          <w:rFonts w:ascii="Times New Roman" w:hAnsi="Times New Roman" w:cs="Times New Roman"/>
          <w:b/>
          <w:color w:val="000000"/>
          <w:kern w:val="0"/>
          <w:sz w:val="36"/>
          <w:szCs w:val="36"/>
        </w:rPr>
        <w:t xml:space="preserve">年度免税资格申请表  </w:t>
      </w:r>
    </w:p>
    <w:tbl>
      <w:tblPr>
        <w:tblStyle w:val="9"/>
        <w:tblpPr w:leftFromText="180" w:rightFromText="180" w:vertAnchor="text" w:horzAnchor="margin" w:tblpY="181"/>
        <w:tblOverlap w:val="never"/>
        <w:tblW w:w="9720"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61"/>
        <w:gridCol w:w="1575"/>
        <w:gridCol w:w="1501"/>
        <w:gridCol w:w="1732"/>
        <w:gridCol w:w="1333"/>
        <w:gridCol w:w="161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1961" w:type="dxa"/>
            <w:tcBorders>
              <w:top w:val="thinThickSmallGap" w:color="auto" w:sz="12" w:space="0"/>
              <w:left w:val="thinThickSmallGap" w:color="auto" w:sz="12" w:space="0"/>
              <w:bottom w:val="single" w:color="auto" w:sz="6" w:space="0"/>
              <w:right w:val="single" w:color="auto" w:sz="6" w:space="0"/>
            </w:tcBorders>
            <w:vAlign w:val="center"/>
          </w:tcPr>
          <w:p>
            <w:pPr>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非营利组织名称</w:t>
            </w:r>
          </w:p>
        </w:tc>
        <w:tc>
          <w:tcPr>
            <w:tcW w:w="3076" w:type="dxa"/>
            <w:gridSpan w:val="2"/>
            <w:tcBorders>
              <w:top w:val="thinThickSmallGap" w:color="auto" w:sz="12"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p>
        </w:tc>
        <w:tc>
          <w:tcPr>
            <w:tcW w:w="1732" w:type="dxa"/>
            <w:tcBorders>
              <w:top w:val="thinThickSmallGap" w:color="auto" w:sz="12" w:space="0"/>
              <w:left w:val="single" w:color="auto" w:sz="6" w:space="0"/>
              <w:bottom w:val="single" w:color="auto" w:sz="6" w:space="0"/>
              <w:right w:val="single" w:color="auto" w:sz="6" w:space="0"/>
            </w:tcBorders>
            <w:vAlign w:val="center"/>
          </w:tcPr>
          <w:p>
            <w:pPr>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设立登记时间</w:t>
            </w:r>
          </w:p>
        </w:tc>
        <w:tc>
          <w:tcPr>
            <w:tcW w:w="2951" w:type="dxa"/>
            <w:gridSpan w:val="2"/>
            <w:tcBorders>
              <w:top w:val="thinThickSmallGap" w:color="auto" w:sz="12" w:space="0"/>
              <w:left w:val="single" w:color="auto" w:sz="6" w:space="0"/>
              <w:bottom w:val="single" w:color="auto" w:sz="6" w:space="0"/>
              <w:right w:val="thickThinSmallGap" w:color="auto" w:sz="12" w:space="0"/>
            </w:tcBorders>
            <w:vAlign w:val="center"/>
          </w:tcPr>
          <w:p>
            <w:pPr>
              <w:spacing w:line="240" w:lineRule="exact"/>
              <w:rPr>
                <w:rFonts w:ascii="Times New Roman" w:hAnsi="Times New Roman" w:eastAsia="仿宋_GB2312" w:cs="Times New Roman"/>
                <w:color w:val="000000"/>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1961" w:type="dxa"/>
            <w:tcBorders>
              <w:top w:val="single" w:color="auto" w:sz="6" w:space="0"/>
              <w:left w:val="thinThickSmallGap" w:color="auto" w:sz="12" w:space="0"/>
              <w:bottom w:val="single" w:color="auto" w:sz="6" w:space="0"/>
              <w:right w:val="single" w:color="auto" w:sz="6" w:space="0"/>
            </w:tcBorders>
            <w:vAlign w:val="center"/>
          </w:tcPr>
          <w:p>
            <w:pPr>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登记管理机关</w:t>
            </w:r>
          </w:p>
        </w:tc>
        <w:tc>
          <w:tcPr>
            <w:tcW w:w="3076"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p>
        </w:tc>
        <w:tc>
          <w:tcPr>
            <w:tcW w:w="1732" w:type="dxa"/>
            <w:tcBorders>
              <w:top w:val="single" w:color="auto" w:sz="6" w:space="0"/>
              <w:left w:val="single" w:color="auto" w:sz="6" w:space="0"/>
              <w:bottom w:val="single" w:color="auto" w:sz="6" w:space="0"/>
              <w:right w:val="single" w:color="auto" w:sz="6" w:space="0"/>
            </w:tcBorders>
            <w:vAlign w:val="center"/>
          </w:tcPr>
          <w:p>
            <w:pPr>
              <w:spacing w:line="240" w:lineRule="exact"/>
              <w:ind w:firstLine="190" w:firstLineChars="100"/>
              <w:rPr>
                <w:rFonts w:ascii="Times New Roman" w:hAnsi="Times New Roman" w:eastAsia="仿宋_GB2312" w:cs="Times New Roman"/>
                <w:color w:val="000000"/>
                <w:spacing w:val="-10"/>
                <w:kern w:val="0"/>
                <w:sz w:val="21"/>
                <w:szCs w:val="21"/>
              </w:rPr>
            </w:pPr>
            <w:r>
              <w:rPr>
                <w:rFonts w:ascii="Times New Roman" w:hAnsi="Times New Roman" w:eastAsia="仿宋_GB2312" w:cs="Times New Roman"/>
                <w:color w:val="000000"/>
                <w:spacing w:val="-10"/>
                <w:kern w:val="0"/>
                <w:sz w:val="21"/>
                <w:szCs w:val="21"/>
              </w:rPr>
              <w:t>业务主管单位</w:t>
            </w:r>
          </w:p>
        </w:tc>
        <w:tc>
          <w:tcPr>
            <w:tcW w:w="2951" w:type="dxa"/>
            <w:gridSpan w:val="2"/>
            <w:tcBorders>
              <w:top w:val="single" w:color="auto" w:sz="6" w:space="0"/>
              <w:left w:val="single" w:color="auto" w:sz="6" w:space="0"/>
              <w:bottom w:val="single" w:color="auto" w:sz="6" w:space="0"/>
              <w:right w:val="thickThinSmallGap" w:color="auto" w:sz="12" w:space="0"/>
            </w:tcBorders>
            <w:vAlign w:val="center"/>
          </w:tcPr>
          <w:p>
            <w:pPr>
              <w:spacing w:line="240" w:lineRule="exact"/>
              <w:rPr>
                <w:rFonts w:ascii="Times New Roman" w:hAnsi="Times New Roman" w:eastAsia="仿宋_GB2312" w:cs="Times New Roman"/>
                <w:color w:val="000000"/>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exact"/>
        </w:trPr>
        <w:tc>
          <w:tcPr>
            <w:tcW w:w="1961" w:type="dxa"/>
            <w:tcBorders>
              <w:top w:val="single" w:color="auto" w:sz="6" w:space="0"/>
              <w:left w:val="thinThickSmallGap" w:color="auto" w:sz="12" w:space="0"/>
              <w:bottom w:val="single" w:color="auto" w:sz="6" w:space="0"/>
              <w:right w:val="single" w:color="auto" w:sz="6" w:space="0"/>
            </w:tcBorders>
            <w:vAlign w:val="center"/>
          </w:tcPr>
          <w:p>
            <w:pPr>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法定代表人</w:t>
            </w:r>
          </w:p>
        </w:tc>
        <w:tc>
          <w:tcPr>
            <w:tcW w:w="3076"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p>
        </w:tc>
        <w:tc>
          <w:tcPr>
            <w:tcW w:w="17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联系电话</w:t>
            </w:r>
          </w:p>
        </w:tc>
        <w:tc>
          <w:tcPr>
            <w:tcW w:w="2951" w:type="dxa"/>
            <w:gridSpan w:val="2"/>
            <w:tcBorders>
              <w:top w:val="single" w:color="auto" w:sz="6" w:space="0"/>
              <w:left w:val="single" w:color="auto" w:sz="6" w:space="0"/>
              <w:bottom w:val="single" w:color="auto" w:sz="6" w:space="0"/>
              <w:right w:val="thickThinSmallGap" w:color="auto" w:sz="12" w:space="0"/>
            </w:tcBorders>
            <w:vAlign w:val="center"/>
          </w:tcPr>
          <w:p>
            <w:pPr>
              <w:spacing w:line="240" w:lineRule="exact"/>
              <w:rPr>
                <w:rFonts w:ascii="Times New Roman" w:hAnsi="Times New Roman" w:eastAsia="仿宋_GB2312" w:cs="Times New Roman"/>
                <w:color w:val="000000"/>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1961" w:type="dxa"/>
            <w:tcBorders>
              <w:top w:val="single" w:color="auto" w:sz="6" w:space="0"/>
              <w:left w:val="thinThickSmallGap" w:color="auto" w:sz="12" w:space="0"/>
              <w:bottom w:val="single" w:color="auto" w:sz="6" w:space="0"/>
              <w:right w:val="single" w:color="auto" w:sz="6" w:space="0"/>
            </w:tcBorders>
            <w:vAlign w:val="center"/>
          </w:tcPr>
          <w:p>
            <w:pPr>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住　　所</w:t>
            </w:r>
          </w:p>
        </w:tc>
        <w:tc>
          <w:tcPr>
            <w:tcW w:w="3076"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p>
        </w:tc>
        <w:tc>
          <w:tcPr>
            <w:tcW w:w="17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邮政编码</w:t>
            </w:r>
          </w:p>
        </w:tc>
        <w:tc>
          <w:tcPr>
            <w:tcW w:w="2951" w:type="dxa"/>
            <w:gridSpan w:val="2"/>
            <w:tcBorders>
              <w:top w:val="single" w:color="auto" w:sz="6" w:space="0"/>
              <w:left w:val="single" w:color="auto" w:sz="6" w:space="0"/>
              <w:bottom w:val="single" w:color="auto" w:sz="6" w:space="0"/>
              <w:right w:val="thickThinSmallGap" w:color="auto" w:sz="12" w:space="0"/>
            </w:tcBorders>
            <w:vAlign w:val="center"/>
          </w:tcPr>
          <w:p>
            <w:pPr>
              <w:spacing w:line="240" w:lineRule="exact"/>
              <w:rPr>
                <w:rFonts w:ascii="Times New Roman" w:hAnsi="Times New Roman" w:eastAsia="仿宋_GB2312" w:cs="Times New Roman"/>
                <w:color w:val="000000"/>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exact"/>
        </w:trPr>
        <w:tc>
          <w:tcPr>
            <w:tcW w:w="1961" w:type="dxa"/>
            <w:tcBorders>
              <w:top w:val="single" w:color="auto" w:sz="6" w:space="0"/>
              <w:left w:val="thinThickSmallGap" w:color="auto" w:sz="12" w:space="0"/>
              <w:bottom w:val="single" w:color="auto" w:sz="6" w:space="0"/>
              <w:right w:val="single" w:color="auto" w:sz="6" w:space="0"/>
            </w:tcBorders>
            <w:vAlign w:val="center"/>
          </w:tcPr>
          <w:p>
            <w:pPr>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宗　　旨</w:t>
            </w:r>
          </w:p>
        </w:tc>
        <w:tc>
          <w:tcPr>
            <w:tcW w:w="7759" w:type="dxa"/>
            <w:gridSpan w:val="5"/>
            <w:tcBorders>
              <w:top w:val="single" w:color="auto" w:sz="6" w:space="0"/>
              <w:left w:val="single" w:color="auto" w:sz="6" w:space="0"/>
              <w:bottom w:val="single" w:color="auto" w:sz="6" w:space="0"/>
              <w:right w:val="thickThinSmallGap" w:color="auto" w:sz="12" w:space="0"/>
            </w:tcBorders>
          </w:tcPr>
          <w:p>
            <w:pPr>
              <w:snapToGrid w:val="0"/>
              <w:spacing w:line="240" w:lineRule="exact"/>
              <w:rPr>
                <w:rFonts w:ascii="Times New Roman" w:hAnsi="Times New Roman" w:eastAsia="仿宋_GB2312" w:cs="Times New Roman"/>
                <w:color w:val="000000"/>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0" w:hRule="exact"/>
        </w:trPr>
        <w:tc>
          <w:tcPr>
            <w:tcW w:w="1961" w:type="dxa"/>
            <w:tcBorders>
              <w:top w:val="single" w:color="auto" w:sz="6" w:space="0"/>
              <w:left w:val="thinThickSmallGap" w:color="auto" w:sz="12" w:space="0"/>
              <w:bottom w:val="single" w:color="auto" w:sz="6" w:space="0"/>
              <w:right w:val="single" w:color="auto" w:sz="6" w:space="0"/>
            </w:tcBorders>
            <w:vAlign w:val="center"/>
          </w:tcPr>
          <w:p>
            <w:pPr>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业务范围</w:t>
            </w:r>
          </w:p>
        </w:tc>
        <w:tc>
          <w:tcPr>
            <w:tcW w:w="7759" w:type="dxa"/>
            <w:gridSpan w:val="5"/>
            <w:tcBorders>
              <w:top w:val="single" w:color="auto" w:sz="6" w:space="0"/>
              <w:left w:val="single" w:color="auto" w:sz="6" w:space="0"/>
              <w:bottom w:val="single" w:color="auto" w:sz="6" w:space="0"/>
              <w:right w:val="thickThinSmallGap" w:color="auto" w:sz="12" w:space="0"/>
            </w:tcBorders>
          </w:tcPr>
          <w:p>
            <w:pPr>
              <w:snapToGrid w:val="0"/>
              <w:spacing w:line="240" w:lineRule="exact"/>
              <w:rPr>
                <w:rFonts w:ascii="Times New Roman" w:hAnsi="Times New Roman" w:eastAsia="仿宋_GB2312" w:cs="Times New Roman"/>
                <w:color w:val="000000"/>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2" w:hRule="exact"/>
        </w:trPr>
        <w:tc>
          <w:tcPr>
            <w:tcW w:w="1961" w:type="dxa"/>
            <w:vMerge w:val="restart"/>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是否符合税法</w:t>
            </w:r>
          </w:p>
          <w:p>
            <w:pPr>
              <w:spacing w:line="28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相关规定</w:t>
            </w:r>
          </w:p>
        </w:tc>
        <w:tc>
          <w:tcPr>
            <w:tcW w:w="6141"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依照国家有关法律法规设立或登记的事业单位、社会团体、基金会、社会服务机构、宗教活动场所、宗教院校以及财政部、税务总局认定的其他非营利组织</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 xml:space="preserve">是  </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1" w:hRule="exact"/>
        </w:trPr>
        <w:tc>
          <w:tcPr>
            <w:tcW w:w="196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Times New Roman" w:hAnsi="Times New Roman" w:eastAsia="仿宋_GB2312" w:cs="Times New Roman"/>
                <w:color w:val="000000"/>
                <w:kern w:val="0"/>
                <w:sz w:val="21"/>
                <w:szCs w:val="21"/>
              </w:rPr>
            </w:pPr>
          </w:p>
        </w:tc>
        <w:tc>
          <w:tcPr>
            <w:tcW w:w="6141"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sz w:val="21"/>
                <w:szCs w:val="21"/>
              </w:rPr>
              <w:t>从事公益性或者非营利性活动</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 xml:space="preserve">是  </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exact"/>
        </w:trPr>
        <w:tc>
          <w:tcPr>
            <w:tcW w:w="196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Times New Roman" w:hAnsi="Times New Roman" w:eastAsia="仿宋_GB2312" w:cs="Times New Roman"/>
                <w:color w:val="000000"/>
                <w:kern w:val="0"/>
                <w:sz w:val="21"/>
                <w:szCs w:val="21"/>
              </w:rPr>
            </w:pPr>
          </w:p>
        </w:tc>
        <w:tc>
          <w:tcPr>
            <w:tcW w:w="6141"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sz w:val="21"/>
                <w:szCs w:val="21"/>
              </w:rPr>
              <w:t>取得的收入除用于与该组织有关的、合理的支出外，全部用于登记核定或者章程规定的公益性或者非营利性事业</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 xml:space="preserve">是  </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4" w:hRule="exact"/>
        </w:trPr>
        <w:tc>
          <w:tcPr>
            <w:tcW w:w="196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Times New Roman" w:hAnsi="Times New Roman" w:eastAsia="仿宋_GB2312" w:cs="Times New Roman"/>
                <w:color w:val="000000"/>
                <w:kern w:val="0"/>
                <w:sz w:val="21"/>
                <w:szCs w:val="21"/>
              </w:rPr>
            </w:pPr>
          </w:p>
        </w:tc>
        <w:tc>
          <w:tcPr>
            <w:tcW w:w="6141"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sz w:val="21"/>
                <w:szCs w:val="21"/>
              </w:rPr>
              <w:t>财产及其孳息不用于分配，但不包括合理的工资薪金支出</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 xml:space="preserve">是 </w:t>
            </w:r>
            <w:r>
              <w:rPr>
                <w:rFonts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24"/>
                <w:szCs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2" w:hRule="exact"/>
        </w:trPr>
        <w:tc>
          <w:tcPr>
            <w:tcW w:w="196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Times New Roman" w:hAnsi="Times New Roman" w:eastAsia="仿宋_GB2312" w:cs="Times New Roman"/>
                <w:color w:val="000000"/>
                <w:kern w:val="0"/>
                <w:sz w:val="21"/>
                <w:szCs w:val="21"/>
              </w:rPr>
            </w:pPr>
          </w:p>
        </w:tc>
        <w:tc>
          <w:tcPr>
            <w:tcW w:w="6141"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sz w:val="21"/>
                <w:szCs w:val="21"/>
              </w:rPr>
              <w:t>按照登记核定或者章程规定，该组织注销后的剩余财产用于公益性或者非营利性目的，或者由登记管理机关采取转赠给与该组织性质、宗旨相同的组织等处置方式，并向社会公告</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 xml:space="preserve">是  </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3" w:hRule="exact"/>
        </w:trPr>
        <w:tc>
          <w:tcPr>
            <w:tcW w:w="196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Times New Roman" w:hAnsi="Times New Roman" w:eastAsia="仿宋_GB2312" w:cs="Times New Roman"/>
                <w:color w:val="000000"/>
                <w:kern w:val="0"/>
                <w:sz w:val="21"/>
                <w:szCs w:val="21"/>
              </w:rPr>
            </w:pPr>
          </w:p>
        </w:tc>
        <w:tc>
          <w:tcPr>
            <w:tcW w:w="6141"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sz w:val="21"/>
                <w:szCs w:val="21"/>
              </w:rPr>
              <w:t>投入人对投入该组织的财产不保留或者享有任何财产权利，本款所称投入人是指除各级人民政府及其部门外的法人、自然人和其他组织</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 xml:space="preserve">是  </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1" w:hRule="exact"/>
        </w:trPr>
        <w:tc>
          <w:tcPr>
            <w:tcW w:w="196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Times New Roman" w:hAnsi="Times New Roman" w:eastAsia="仿宋_GB2312" w:cs="Times New Roman"/>
                <w:color w:val="000000"/>
                <w:kern w:val="0"/>
                <w:sz w:val="21"/>
                <w:szCs w:val="21"/>
              </w:rPr>
            </w:pPr>
          </w:p>
        </w:tc>
        <w:tc>
          <w:tcPr>
            <w:tcW w:w="6141"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sz w:val="21"/>
                <w:szCs w:val="21"/>
              </w:rPr>
              <w:t>工作人员工资福利开支控制在规定的比例内，不变相分配该组织的财产，其中：工作人员平均工资薪金水平不得超过税务登记所在地的地市级（含地市级）以上地区的同行业同类组织工资水平的两倍，工作人员福利按照国家有关规定执行</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 xml:space="preserve">是  </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6" w:hRule="exact"/>
        </w:trPr>
        <w:tc>
          <w:tcPr>
            <w:tcW w:w="196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Times New Roman" w:hAnsi="Times New Roman" w:eastAsia="仿宋_GB2312" w:cs="Times New Roman"/>
                <w:color w:val="000000"/>
                <w:kern w:val="0"/>
                <w:sz w:val="21"/>
                <w:szCs w:val="21"/>
              </w:rPr>
            </w:pPr>
          </w:p>
        </w:tc>
        <w:tc>
          <w:tcPr>
            <w:tcW w:w="6141"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sz w:val="21"/>
                <w:szCs w:val="21"/>
              </w:rPr>
              <w:t>对取得的应纳税收入及其有关的成本、费用、损失应与免税收入及其有关的成本、费用、损失分别核算</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 xml:space="preserve">是  </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8" w:hRule="exact"/>
        </w:trPr>
        <w:tc>
          <w:tcPr>
            <w:tcW w:w="1961" w:type="dxa"/>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1"/>
                <w:szCs w:val="21"/>
                <w:lang w:val="en-US" w:eastAsia="zh-CN"/>
              </w:rPr>
              <w:t>登记管理机关出具的上一年度符合相关法律法规和国家政策的事业发展情况或非营利活动的材料</w:t>
            </w:r>
          </w:p>
        </w:tc>
        <w:tc>
          <w:tcPr>
            <w:tcW w:w="1575" w:type="dxa"/>
            <w:tcBorders>
              <w:top w:val="single" w:color="auto" w:sz="6" w:space="0"/>
              <w:left w:val="single" w:color="auto" w:sz="6" w:space="0"/>
              <w:bottom w:val="single" w:color="auto" w:sz="6" w:space="0"/>
              <w:right w:val="single" w:color="auto" w:sz="6" w:space="0"/>
            </w:tcBorders>
            <w:vAlign w:val="center"/>
          </w:tcPr>
          <w:p>
            <w:pPr>
              <w:spacing w:line="240" w:lineRule="exact"/>
              <w:rPr>
                <w:rFonts w:hint="default" w:ascii="Times New Roman" w:hAnsi="Times New Roman" w:eastAsia="仿宋_GB2312" w:cs="Times New Roman"/>
                <w:color w:val="000000"/>
                <w:kern w:val="0"/>
                <w:sz w:val="24"/>
                <w:szCs w:val="24"/>
                <w:u w:val="none"/>
                <w:lang w:val="en-US" w:eastAsia="zh-CN"/>
              </w:rPr>
            </w:pPr>
            <w:r>
              <w:rPr>
                <w:rFonts w:hint="eastAsia" w:ascii="Times New Roman" w:hAnsi="Times New Roman" w:eastAsia="仿宋_GB2312" w:cs="Times New Roman"/>
                <w:color w:val="000000"/>
                <w:kern w:val="0"/>
                <w:sz w:val="24"/>
                <w:szCs w:val="24"/>
                <w:u w:val="single"/>
                <w:lang w:val="en-US" w:eastAsia="zh-CN"/>
              </w:rPr>
              <w:t xml:space="preserve">       </w:t>
            </w:r>
            <w:r>
              <w:rPr>
                <w:rFonts w:hint="eastAsia" w:ascii="Times New Roman" w:hAnsi="Times New Roman" w:eastAsia="仿宋_GB2312" w:cs="Times New Roman"/>
                <w:color w:val="000000"/>
                <w:kern w:val="0"/>
                <w:sz w:val="24"/>
                <w:szCs w:val="24"/>
                <w:u w:val="none"/>
                <w:lang w:val="en-US" w:eastAsia="zh-CN"/>
              </w:rPr>
              <w:t>年度</w:t>
            </w:r>
          </w:p>
        </w:tc>
        <w:tc>
          <w:tcPr>
            <w:tcW w:w="6184" w:type="dxa"/>
            <w:gridSpan w:val="4"/>
            <w:tcBorders>
              <w:top w:val="single" w:color="auto" w:sz="6" w:space="0"/>
              <w:left w:val="single" w:color="auto" w:sz="6" w:space="0"/>
              <w:bottom w:val="single" w:color="auto" w:sz="6" w:space="0"/>
              <w:right w:val="thickThinSmallGap" w:color="auto" w:sz="12" w:space="0"/>
            </w:tcBorders>
            <w:vAlign w:val="center"/>
          </w:tcPr>
          <w:p>
            <w:pPr>
              <w:spacing w:line="240" w:lineRule="exact"/>
              <w:rPr>
                <w:rFonts w:hint="eastAsia" w:ascii="Times New Roman" w:hAnsi="Times New Roman" w:eastAsia="仿宋_GB2312" w:cs="Times New Roman"/>
                <w:color w:val="000000"/>
                <w:kern w:val="0"/>
                <w:sz w:val="24"/>
                <w:szCs w:val="24"/>
                <w:lang w:val="en-US" w:eastAsia="zh-CN" w:bidi="ar-SA"/>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24"/>
                <w:szCs w:val="24"/>
                <w:lang w:val="en-US" w:eastAsia="zh-CN"/>
              </w:rPr>
              <w:t xml:space="preserve">符合 </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24"/>
                <w:szCs w:val="24"/>
                <w:lang w:eastAsia="zh-CN"/>
              </w:rPr>
              <w:t>基本符合</w:t>
            </w:r>
            <w:r>
              <w:rPr>
                <w:rFonts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4"/>
                <w:szCs w:val="24"/>
              </w:rPr>
              <w:t>不</w:t>
            </w:r>
            <w:r>
              <w:rPr>
                <w:rFonts w:hint="eastAsia" w:ascii="Times New Roman" w:hAnsi="Times New Roman" w:eastAsia="仿宋_GB2312" w:cs="Times New Roman"/>
                <w:color w:val="000000"/>
                <w:kern w:val="0"/>
                <w:sz w:val="24"/>
                <w:szCs w:val="24"/>
                <w:lang w:eastAsia="zh-CN"/>
              </w:rPr>
              <w:t>符合</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exact"/>
        </w:trPr>
        <w:tc>
          <w:tcPr>
            <w:tcW w:w="1961" w:type="dxa"/>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hint="eastAsia" w:ascii="Times New Roman" w:hAnsi="Times New Roman" w:eastAsia="仿宋_GB2312" w:cs="Times New Roman"/>
                <w:color w:val="000000"/>
                <w:kern w:val="0"/>
                <w:sz w:val="24"/>
                <w:szCs w:val="24"/>
                <w:lang w:eastAsia="zh-CN"/>
              </w:rPr>
            </w:pPr>
            <w:r>
              <w:rPr>
                <w:rFonts w:hint="eastAsia" w:ascii="Times New Roman" w:hAnsi="Times New Roman" w:eastAsia="仿宋_GB2312" w:cs="Times New Roman"/>
                <w:color w:val="000000"/>
                <w:kern w:val="0"/>
                <w:sz w:val="24"/>
                <w:szCs w:val="24"/>
                <w:lang w:val="en-US" w:eastAsia="zh-CN"/>
              </w:rPr>
              <w:t>申请状态</w:t>
            </w:r>
          </w:p>
        </w:tc>
        <w:tc>
          <w:tcPr>
            <w:tcW w:w="7759" w:type="dxa"/>
            <w:gridSpan w:val="5"/>
            <w:tcBorders>
              <w:top w:val="single" w:color="auto" w:sz="6" w:space="0"/>
              <w:left w:val="single" w:color="auto" w:sz="6" w:space="0"/>
              <w:bottom w:val="single" w:color="auto" w:sz="6" w:space="0"/>
              <w:right w:val="thickThinSmallGap" w:color="auto" w:sz="12" w:space="0"/>
            </w:tcBorders>
            <w:vAlign w:val="center"/>
          </w:tcPr>
          <w:p>
            <w:pPr>
              <w:spacing w:line="240" w:lineRule="exac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21"/>
                <w:szCs w:val="21"/>
                <w:lang w:val="en-US" w:eastAsia="zh-CN"/>
              </w:rPr>
              <w:t>当年新设立或登记</w:t>
            </w:r>
            <w:r>
              <w:rPr>
                <w:rFonts w:hint="eastAsia" w:ascii="Times New Roman" w:hAnsi="Times New Roman" w:eastAsia="仿宋_GB2312" w:cs="Times New Roman"/>
                <w:color w:val="000000"/>
                <w:kern w:val="0"/>
                <w:sz w:val="24"/>
                <w:szCs w:val="24"/>
                <w:lang w:val="en-US" w:eastAsia="zh-CN"/>
              </w:rPr>
              <w:t xml:space="preserve"> </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1"/>
                <w:szCs w:val="21"/>
              </w:rPr>
              <w:t>五年有效期到期</w:t>
            </w:r>
            <w:r>
              <w:rPr>
                <w:rFonts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21"/>
                <w:szCs w:val="21"/>
              </w:rPr>
              <w:t>不再具备规定的免税条件的</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31" w:hRule="atLeast"/>
        </w:trPr>
        <w:tc>
          <w:tcPr>
            <w:tcW w:w="9720" w:type="dxa"/>
            <w:gridSpan w:val="6"/>
            <w:tcBorders>
              <w:top w:val="single" w:color="auto" w:sz="6" w:space="0"/>
              <w:left w:val="thinThickSmallGap" w:color="auto" w:sz="12" w:space="0"/>
              <w:bottom w:val="thickThinSmallGap" w:color="auto" w:sz="12" w:space="0"/>
              <w:right w:val="thickThinSmallGap" w:color="auto" w:sz="12" w:space="0"/>
            </w:tcBorders>
          </w:tcPr>
          <w:p>
            <w:pPr>
              <w:spacing w:line="280" w:lineRule="exact"/>
              <w:rPr>
                <w:rFonts w:ascii="Times New Roman" w:hAnsi="Times New Roman" w:eastAsia="仿宋_GB2312" w:cs="Times New Roman"/>
                <w:color w:val="000000"/>
                <w:kern w:val="0"/>
                <w:sz w:val="24"/>
                <w:szCs w:val="24"/>
              </w:rPr>
            </w:pPr>
          </w:p>
          <w:p>
            <w:pPr>
              <w:spacing w:line="280" w:lineRule="exac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本非营利组织承诺：以上所填信息真实、准确。</w:t>
            </w:r>
          </w:p>
          <w:p>
            <w:pPr>
              <w:spacing w:line="280" w:lineRule="exact"/>
              <w:rPr>
                <w:rFonts w:ascii="Times New Roman" w:hAnsi="Times New Roman" w:eastAsia="仿宋_GB2312" w:cs="Times New Roman"/>
                <w:color w:val="000000"/>
                <w:kern w:val="0"/>
                <w:sz w:val="24"/>
                <w:szCs w:val="24"/>
              </w:rPr>
            </w:pPr>
          </w:p>
          <w:p>
            <w:pPr>
              <w:spacing w:line="280" w:lineRule="exact"/>
              <w:rPr>
                <w:rFonts w:ascii="Times New Roman" w:hAnsi="Times New Roman" w:eastAsia="仿宋_GB2312" w:cs="Times New Roman"/>
                <w:color w:val="000000"/>
                <w:kern w:val="0"/>
                <w:sz w:val="24"/>
                <w:szCs w:val="24"/>
              </w:rPr>
            </w:pPr>
          </w:p>
          <w:p>
            <w:pPr>
              <w:spacing w:line="280" w:lineRule="exac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非营利组织盖章：                                法定代表人：（签名）</w:t>
            </w:r>
          </w:p>
          <w:p>
            <w:pPr>
              <w:spacing w:line="280" w:lineRule="exac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p>
          <w:p>
            <w:pPr>
              <w:spacing w:line="280" w:lineRule="exact"/>
              <w:ind w:firstLine="6960" w:firstLineChars="29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年     月      日</w:t>
            </w:r>
          </w:p>
        </w:tc>
      </w:tr>
    </w:tbl>
    <w:p>
      <w:pPr>
        <w:spacing w:line="576" w:lineRule="exac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联系人：                 联系电话：</w:t>
      </w:r>
    </w:p>
    <w:p>
      <w:pPr>
        <w:spacing w:line="576" w:lineRule="exact"/>
        <w:rPr>
          <w:rFonts w:ascii="Times New Roman" w:hAnsi="Times New Roman" w:cs="Times New Roman"/>
          <w:b/>
          <w:color w:val="000000"/>
          <w:kern w:val="0"/>
          <w:sz w:val="36"/>
          <w:szCs w:val="36"/>
        </w:rPr>
        <w:sectPr>
          <w:pgSz w:w="11906" w:h="16838"/>
          <w:pgMar w:top="850" w:right="1474" w:bottom="850" w:left="1588"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2" w:charSpace="0"/>
        </w:sectPr>
      </w:pPr>
    </w:p>
    <w:p>
      <w:pPr>
        <w:spacing w:line="576"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附件2</w:t>
      </w:r>
    </w:p>
    <w:p>
      <w:pPr>
        <w:spacing w:line="576" w:lineRule="exact"/>
        <w:rPr>
          <w:rFonts w:ascii="Times New Roman" w:hAnsi="Times New Roman" w:cs="Times New Roman"/>
          <w:b/>
          <w:color w:val="000000"/>
          <w:kern w:val="0"/>
          <w:sz w:val="36"/>
          <w:szCs w:val="36"/>
        </w:rPr>
      </w:pPr>
    </w:p>
    <w:p>
      <w:pPr>
        <w:spacing w:line="576" w:lineRule="exact"/>
        <w:jc w:val="center"/>
        <w:rPr>
          <w:rFonts w:ascii="Times New Roman" w:hAnsi="Times New Roman" w:eastAsia="方正小标宋简体" w:cs="Times New Roman"/>
          <w:color w:val="000000"/>
          <w:kern w:val="0"/>
          <w:sz w:val="36"/>
          <w:szCs w:val="36"/>
        </w:rPr>
      </w:pPr>
      <w:r>
        <w:rPr>
          <w:rFonts w:ascii="Times New Roman" w:hAnsi="Times New Roman" w:eastAsia="方正小标宋简体" w:cs="Times New Roman"/>
          <w:color w:val="000000"/>
          <w:kern w:val="0"/>
          <w:sz w:val="36"/>
          <w:szCs w:val="36"/>
        </w:rPr>
        <w:t>关于</w:t>
      </w:r>
      <w:r>
        <w:rPr>
          <w:rFonts w:ascii="Times New Roman" w:hAnsi="Times New Roman" w:eastAsia="方正小标宋简体" w:cs="Times New Roman"/>
          <w:color w:val="000000"/>
          <w:kern w:val="0"/>
          <w:sz w:val="36"/>
          <w:szCs w:val="36"/>
          <w:u w:val="single"/>
        </w:rPr>
        <w:t xml:space="preserve">     </w:t>
      </w:r>
      <w:r>
        <w:rPr>
          <w:rFonts w:ascii="Times New Roman" w:hAnsi="Times New Roman" w:eastAsia="方正小标宋简体" w:cs="Times New Roman"/>
          <w:color w:val="000000"/>
          <w:kern w:val="0"/>
          <w:sz w:val="36"/>
          <w:szCs w:val="36"/>
        </w:rPr>
        <w:t>年度</w:t>
      </w:r>
      <w:r>
        <w:rPr>
          <w:rFonts w:hint="eastAsia" w:ascii="Times New Roman" w:hAnsi="Times New Roman" w:eastAsia="方正小标宋简体" w:cs="Times New Roman"/>
          <w:color w:val="000000"/>
          <w:kern w:val="0"/>
          <w:sz w:val="36"/>
          <w:szCs w:val="36"/>
        </w:rPr>
        <w:t>非营利组织</w:t>
      </w:r>
      <w:r>
        <w:rPr>
          <w:rFonts w:ascii="Times New Roman" w:hAnsi="Times New Roman" w:eastAsia="方正小标宋简体" w:cs="Times New Roman"/>
          <w:color w:val="000000"/>
          <w:kern w:val="0"/>
          <w:sz w:val="36"/>
          <w:szCs w:val="36"/>
        </w:rPr>
        <w:t>免税资格认定的申请报告</w:t>
      </w:r>
    </w:p>
    <w:p>
      <w:pPr>
        <w:spacing w:line="576" w:lineRule="exact"/>
        <w:jc w:val="left"/>
        <w:rPr>
          <w:rFonts w:ascii="Times New Roman" w:hAnsi="Times New Roman" w:cs="Times New Roman"/>
          <w:color w:val="000000"/>
          <w:kern w:val="0"/>
          <w:sz w:val="28"/>
          <w:szCs w:val="28"/>
        </w:rPr>
      </w:pPr>
    </w:p>
    <w:p>
      <w:pPr>
        <w:spacing w:line="576" w:lineRule="exact"/>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市财政局、市税务局：</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（本会的宗旨，目前组织的状况，开展工作的简单情况以及对照财政部和国家税务总局出台的《关于非营利组织免税资格认定有关问题的通知》的要求，是不是符合免税资格的条件，提出免税资格的申请。）</w:t>
      </w:r>
    </w:p>
    <w:p>
      <w:pPr>
        <w:spacing w:line="576" w:lineRule="exact"/>
        <w:ind w:firstLine="640" w:firstLineChars="200"/>
        <w:rPr>
          <w:rFonts w:ascii="Times New Roman" w:hAnsi="Times New Roman" w:eastAsia="仿宋_GB2312" w:cs="Times New Roman"/>
          <w:sz w:val="32"/>
          <w:szCs w:val="32"/>
        </w:rPr>
      </w:pPr>
    </w:p>
    <w:sectPr>
      <w:pgSz w:w="11906" w:h="16838"/>
      <w:pgMar w:top="850" w:right="1474" w:bottom="850" w:left="1588"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42" w:h="597" w:hRule="exact" w:wrap="around" w:vAnchor="text" w:hAnchor="margin" w:xAlign="outside" w:y="12"/>
      <w:rPr>
        <w:rStyle w:val="8"/>
        <w:rFonts w:ascii="宋体" w:hAnsi="宋体" w:eastAsia="宋体"/>
        <w:sz w:val="28"/>
        <w:szCs w:val="28"/>
      </w:rPr>
    </w:pP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- 3 -</w:t>
    </w:r>
    <w:r>
      <w:rPr>
        <w:rStyle w:val="8"/>
        <w:rFonts w:ascii="宋体" w:hAnsi="宋体" w:eastAsia="宋体"/>
        <w:sz w:val="28"/>
        <w:szCs w:val="28"/>
      </w:rPr>
      <w:fldChar w:fldCharType="end"/>
    </w:r>
  </w:p>
  <w:p>
    <w:pPr>
      <w:pStyle w:val="4"/>
      <w:ind w:right="360" w:firstLine="360"/>
      <w:jc w:val="center"/>
    </w:pPr>
  </w:p>
  <w:p>
    <w:pPr>
      <w:pStyle w:val="4"/>
      <w:ind w:left="105" w:right="105"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105" w:right="105"/>
      <w:rPr>
        <w:rStyle w:val="8"/>
      </w:rPr>
    </w:pPr>
    <w:r>
      <w:rPr>
        <w:rStyle w:val="8"/>
      </w:rPr>
      <w:fldChar w:fldCharType="begin"/>
    </w:r>
    <w:r>
      <w:rPr>
        <w:rStyle w:val="8"/>
      </w:rPr>
      <w:instrText xml:space="preserve">PAGE  </w:instrText>
    </w:r>
    <w:r>
      <w:rPr>
        <w:rStyle w:val="8"/>
      </w:rPr>
      <w:fldChar w:fldCharType="separate"/>
    </w:r>
    <w:r>
      <w:rPr>
        <w:rStyle w:val="8"/>
      </w:rPr>
      <w:t>- 4 -</w:t>
    </w:r>
    <w:r>
      <w:rPr>
        <w:rStyle w:val="8"/>
      </w:rPr>
      <w:fldChar w:fldCharType="end"/>
    </w:r>
  </w:p>
  <w:p>
    <w:pPr>
      <w:pStyle w:val="4"/>
      <w:ind w:left="105"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8" w:leftChars="23" w:right="10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05" w:right="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05" w:right="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05" w:right="10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80"/>
    <w:rsid w:val="0004006A"/>
    <w:rsid w:val="00070680"/>
    <w:rsid w:val="000A1C73"/>
    <w:rsid w:val="000A4DA6"/>
    <w:rsid w:val="000E69F7"/>
    <w:rsid w:val="000F2F2C"/>
    <w:rsid w:val="000F2FA7"/>
    <w:rsid w:val="00180ECD"/>
    <w:rsid w:val="00182CAD"/>
    <w:rsid w:val="001C3696"/>
    <w:rsid w:val="001D5493"/>
    <w:rsid w:val="002F62B7"/>
    <w:rsid w:val="00385541"/>
    <w:rsid w:val="00385C4A"/>
    <w:rsid w:val="003932D5"/>
    <w:rsid w:val="003C6829"/>
    <w:rsid w:val="003E5F80"/>
    <w:rsid w:val="00415A51"/>
    <w:rsid w:val="00432B89"/>
    <w:rsid w:val="004845C0"/>
    <w:rsid w:val="00490972"/>
    <w:rsid w:val="00492420"/>
    <w:rsid w:val="00527DF4"/>
    <w:rsid w:val="00557CB4"/>
    <w:rsid w:val="0058469D"/>
    <w:rsid w:val="00592678"/>
    <w:rsid w:val="005B0AC8"/>
    <w:rsid w:val="005F6AA0"/>
    <w:rsid w:val="006632FE"/>
    <w:rsid w:val="006874CF"/>
    <w:rsid w:val="00727E8F"/>
    <w:rsid w:val="0076397E"/>
    <w:rsid w:val="0078223A"/>
    <w:rsid w:val="007C276B"/>
    <w:rsid w:val="00833667"/>
    <w:rsid w:val="0087179E"/>
    <w:rsid w:val="009146D8"/>
    <w:rsid w:val="0096390F"/>
    <w:rsid w:val="009A6391"/>
    <w:rsid w:val="009C3DAA"/>
    <w:rsid w:val="009F7E00"/>
    <w:rsid w:val="009F7F4A"/>
    <w:rsid w:val="00A15A34"/>
    <w:rsid w:val="00A20F2B"/>
    <w:rsid w:val="00A223F7"/>
    <w:rsid w:val="00A87864"/>
    <w:rsid w:val="00B320B3"/>
    <w:rsid w:val="00B46AFD"/>
    <w:rsid w:val="00B87494"/>
    <w:rsid w:val="00BA1950"/>
    <w:rsid w:val="00C5719A"/>
    <w:rsid w:val="00C7548C"/>
    <w:rsid w:val="00C77D5F"/>
    <w:rsid w:val="00C811F5"/>
    <w:rsid w:val="00CA63C3"/>
    <w:rsid w:val="00CB0480"/>
    <w:rsid w:val="00CC249E"/>
    <w:rsid w:val="00D05745"/>
    <w:rsid w:val="00D82A36"/>
    <w:rsid w:val="00E968E5"/>
    <w:rsid w:val="00EA27AB"/>
    <w:rsid w:val="00EB02AD"/>
    <w:rsid w:val="00EE367F"/>
    <w:rsid w:val="00F2039E"/>
    <w:rsid w:val="00F551EF"/>
    <w:rsid w:val="00FF4A12"/>
    <w:rsid w:val="05112AA0"/>
    <w:rsid w:val="0E9F0A83"/>
    <w:rsid w:val="0FBC178E"/>
    <w:rsid w:val="140D3681"/>
    <w:rsid w:val="1ACC63E1"/>
    <w:rsid w:val="1BFC5089"/>
    <w:rsid w:val="1FA958E9"/>
    <w:rsid w:val="2EED6E31"/>
    <w:rsid w:val="31C358C6"/>
    <w:rsid w:val="32E819A1"/>
    <w:rsid w:val="368828EA"/>
    <w:rsid w:val="36CF3B0A"/>
    <w:rsid w:val="3B075659"/>
    <w:rsid w:val="3B475C5E"/>
    <w:rsid w:val="3CCA1809"/>
    <w:rsid w:val="3EDE1FC2"/>
    <w:rsid w:val="40774349"/>
    <w:rsid w:val="41EF5D78"/>
    <w:rsid w:val="42767990"/>
    <w:rsid w:val="46E72BC8"/>
    <w:rsid w:val="4DFA3392"/>
    <w:rsid w:val="4EBA286C"/>
    <w:rsid w:val="4FAC4C46"/>
    <w:rsid w:val="52A76B33"/>
    <w:rsid w:val="54B265B8"/>
    <w:rsid w:val="5BF11154"/>
    <w:rsid w:val="606D75F5"/>
    <w:rsid w:val="632B0252"/>
    <w:rsid w:val="68E16899"/>
    <w:rsid w:val="6A450F98"/>
    <w:rsid w:val="6AA300FC"/>
    <w:rsid w:val="6C875E1E"/>
    <w:rsid w:val="6F0E73FB"/>
    <w:rsid w:val="6FF03043"/>
    <w:rsid w:val="77F445BB"/>
    <w:rsid w:val="7C475B4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ascii="Times New Roman" w:hAnsi="Times New Roman" w:cs="Times New Roman"/>
      <w:b/>
      <w:bCs/>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8">
    <w:name w:val="page number"/>
    <w:basedOn w:val="7"/>
    <w:qFormat/>
    <w:uiPriority w:val="0"/>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办公自动化专用标题"/>
    <w:basedOn w:val="6"/>
    <w:qFormat/>
    <w:uiPriority w:val="0"/>
    <w:pPr>
      <w:spacing w:line="360" w:lineRule="auto"/>
    </w:pPr>
    <w:rPr>
      <w:rFonts w:ascii="Arial" w:hAnsi="Arial" w:eastAsia="黑体" w:cs="Times New Roman"/>
      <w:b w:val="0"/>
      <w:bCs w:val="0"/>
      <w:szCs w:val="20"/>
    </w:rPr>
  </w:style>
  <w:style w:type="character" w:customStyle="1" w:styleId="14">
    <w:name w:val="标题 Char"/>
    <w:basedOn w:val="7"/>
    <w:link w:val="6"/>
    <w:qFormat/>
    <w:uiPriority w:val="10"/>
    <w:rPr>
      <w:rFonts w:eastAsia="宋体" w:asciiTheme="majorHAnsi" w:hAnsiTheme="majorHAnsi" w:cstheme="majorBidi"/>
      <w:b/>
      <w:bCs/>
      <w:sz w:val="32"/>
      <w:szCs w:val="32"/>
    </w:rPr>
  </w:style>
  <w:style w:type="character" w:customStyle="1" w:styleId="15">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868B1-A38F-4B8E-A05E-46F284C1628E}">
  <ds:schemaRefs/>
</ds:datastoreItem>
</file>

<file path=docProps/app.xml><?xml version="1.0" encoding="utf-8"?>
<Properties xmlns="http://schemas.openxmlformats.org/officeDocument/2006/extended-properties" xmlns:vt="http://schemas.openxmlformats.org/officeDocument/2006/docPropsVTypes">
  <Template>Normal</Template>
  <Pages>7</Pages>
  <Words>463</Words>
  <Characters>2644</Characters>
  <Lines>22</Lines>
  <Paragraphs>6</Paragraphs>
  <TotalTime>0</TotalTime>
  <ScaleCrop>false</ScaleCrop>
  <LinksUpToDate>false</LinksUpToDate>
  <CharactersWithSpaces>3101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2019-05-09T07:48:00Z</dcterms:created>
  <dc:creator>李洁仪</dc:creator>
  <cp:lastModifiedBy>向上</cp:lastModifiedBy>
  <cp:lastPrinted>2024-04-19T08:22:00Z</cp:lastPrinted>
  <dcterms:modified xsi:type="dcterms:W3CDTF">2024-04-25T06:24:35Z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7B7ABE13ED344291BE52721DD3CE4F56</vt:lpwstr>
  </property>
</Properties>
</file>