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left="105" w:right="105"/>
        <w:jc w:val="distribute"/>
        <w:rPr>
          <w:rFonts w:eastAsia="方正小标宋简体"/>
          <w:color w:val="FF0000"/>
          <w:w w:val="75"/>
          <w:sz w:val="116"/>
          <w:szCs w:val="116"/>
        </w:rPr>
      </w:pPr>
    </w:p>
    <w:p>
      <w:pPr>
        <w:snapToGrid w:val="0"/>
        <w:ind w:left="105" w:right="105"/>
        <w:jc w:val="distribute"/>
        <w:rPr>
          <w:rFonts w:eastAsia="方正小标宋简体"/>
          <w:color w:val="FF0000"/>
          <w:w w:val="75"/>
          <w:sz w:val="116"/>
          <w:szCs w:val="116"/>
        </w:rPr>
      </w:pPr>
      <w:r>
        <w:rPr>
          <w:sz w:val="116"/>
          <w:szCs w:val="116"/>
        </w:rPr>
        <w:pict>
          <v:rect id="_x0000_s1027" o:spid="_x0000_s1027" o:spt="1" style="position:absolute;left:0pt;margin-left:-3pt;margin-top:-66.5pt;height:59.7pt;width:134.25pt;z-index:251660288;mso-width-relative:page;mso-height-relative:page;" stroked="f" coordsize="21600,21600" o:allowincell="f">
            <v:path/>
            <v:fill focussize="0,0"/>
            <v:stroke on="f"/>
            <v:imagedata o:title=""/>
            <o:lock v:ext="edit"/>
            <v:textbox>
              <w:txbxContent>
                <w:p>
                  <w:pPr>
                    <w:adjustRightInd w:val="0"/>
                    <w:snapToGrid w:val="0"/>
                    <w:spacing w:line="300" w:lineRule="auto"/>
                    <w:ind w:left="105" w:right="105"/>
                    <w:jc w:val="left"/>
                    <w:rPr>
                      <w:rFonts w:ascii="黑体" w:eastAsia="黑体"/>
                      <w:szCs w:val="32"/>
                    </w:rPr>
                  </w:pPr>
                  <w:r>
                    <w:rPr>
                      <w:rFonts w:hint="eastAsia" w:ascii="黑体" w:eastAsia="黑体"/>
                      <w:szCs w:val="32"/>
                    </w:rPr>
                    <w:t>主动公开</w:t>
                  </w:r>
                </w:p>
                <w:p>
                  <w:pPr>
                    <w:adjustRightInd w:val="0"/>
                    <w:snapToGrid w:val="0"/>
                    <w:spacing w:line="300" w:lineRule="auto"/>
                    <w:ind w:left="105" w:right="105"/>
                    <w:jc w:val="left"/>
                    <w:rPr>
                      <w:rFonts w:ascii="黑体" w:eastAsia="黑体"/>
                      <w:szCs w:val="32"/>
                    </w:rPr>
                  </w:pPr>
                </w:p>
              </w:txbxContent>
            </v:textbox>
          </v:rect>
        </w:pict>
      </w:r>
      <w:r>
        <w:rPr>
          <w:rFonts w:eastAsia="方正小标宋简体"/>
          <w:color w:val="FF0000"/>
          <w:w w:val="75"/>
          <w:sz w:val="116"/>
          <w:szCs w:val="116"/>
        </w:rPr>
        <w:t>佛山市财政局文件</w:t>
      </w:r>
    </w:p>
    <w:p>
      <w:pPr>
        <w:ind w:left="105" w:right="105"/>
        <w:jc w:val="center"/>
        <w:rPr>
          <w:rFonts w:eastAsia="楷体_GB2312"/>
        </w:rPr>
      </w:pPr>
      <w:r>
        <w:rPr>
          <w:szCs w:val="32"/>
        </w:rPr>
        <w:t>佛财法〔2020〕8号</w:t>
      </w:r>
    </w:p>
    <w:p>
      <w:pPr>
        <w:snapToGrid w:val="0"/>
        <w:ind w:left="105" w:right="105"/>
      </w:pPr>
      <w:r>
        <w:rPr>
          <w:sz w:val="20"/>
        </w:rPr>
        <w:pict>
          <v:line id="_x0000_s1026" o:spid="_x0000_s1026" o:spt="20" style="position:absolute;left:0pt;margin-left:0pt;margin-top:6.6pt;height:0pt;width:442.2pt;z-index:251659264;mso-width-relative:page;mso-height-relative:page;" stroked="t" coordsize="21600,21600" o:allowincell="f">
            <v:path arrowok="t"/>
            <v:fill focussize="0,0"/>
            <v:stroke color="#FF0000"/>
            <v:imagedata o:title=""/>
            <o:lock v:ext="edit"/>
          </v:line>
        </w:pict>
      </w:r>
    </w:p>
    <w:p>
      <w:pPr>
        <w:spacing w:line="560" w:lineRule="exact"/>
        <w:ind w:left="105" w:right="105"/>
        <w:jc w:val="right"/>
        <w:rPr>
          <w:b/>
          <w:szCs w:val="32"/>
        </w:rPr>
      </w:pPr>
    </w:p>
    <w:p>
      <w:pPr>
        <w:jc w:val="center"/>
        <w:rPr>
          <w:rFonts w:eastAsia="方正小标宋简体"/>
          <w:color w:val="000000"/>
          <w:sz w:val="44"/>
        </w:rPr>
      </w:pPr>
      <w:r>
        <w:rPr>
          <w:rFonts w:eastAsia="方正小标宋简体"/>
          <w:color w:val="000000"/>
          <w:sz w:val="44"/>
        </w:rPr>
        <w:t>佛山市财政局关于印发2020年普法和学法</w:t>
      </w:r>
    </w:p>
    <w:p>
      <w:pPr>
        <w:jc w:val="center"/>
        <w:rPr>
          <w:rFonts w:eastAsia="方正小标宋简体"/>
          <w:color w:val="000000"/>
          <w:sz w:val="44"/>
        </w:rPr>
      </w:pPr>
      <w:r>
        <w:rPr>
          <w:rFonts w:eastAsia="方正小标宋简体"/>
          <w:color w:val="000000"/>
          <w:sz w:val="44"/>
        </w:rPr>
        <w:t>工作计划的通知</w:t>
      </w:r>
    </w:p>
    <w:p>
      <w:pPr>
        <w:rPr>
          <w:color w:val="000000"/>
        </w:rPr>
      </w:pPr>
    </w:p>
    <w:p>
      <w:pPr>
        <w:rPr>
          <w:color w:val="000000"/>
        </w:rPr>
      </w:pPr>
      <w:r>
        <w:rPr>
          <w:color w:val="000000"/>
        </w:rPr>
        <w:t>本局各科、办、中心：</w:t>
      </w:r>
    </w:p>
    <w:p>
      <w:pPr>
        <w:ind w:firstLine="640" w:firstLineChars="200"/>
        <w:rPr>
          <w:rFonts w:eastAsia="Calibri"/>
          <w:sz w:val="21"/>
        </w:rPr>
      </w:pPr>
      <w:r>
        <w:rPr>
          <w:szCs w:val="32"/>
        </w:rPr>
        <w:t>2020年是全面建成小康社会和“十三五”规划收官之年，是“七五”普法收官之年。为落实好中央、省、市各项决策部署，</w:t>
      </w:r>
      <w:r>
        <w:rPr>
          <w:color w:val="000000"/>
        </w:rPr>
        <w:t>根据《中共佛山市委办公室 佛山市人民政府办公室印发〈关于实行国家机关“谁执法谁普法”普法责任制的实施意见〉的通知》(佛办发〔2018〕7号)以及《佛山市财政局关于印发〈佛山市财政法治宣传教育第七个五年规划〉的通知》（佛财法〔2017〕4号）精神，结合工作实际，特制定本工作计划。现印发给你们，请认真贯彻执行。</w:t>
      </w:r>
    </w:p>
    <w:p>
      <w:pPr>
        <w:ind w:firstLine="640" w:firstLineChars="200"/>
        <w:rPr>
          <w:color w:val="000000"/>
        </w:rPr>
      </w:pPr>
      <w:r>
        <w:rPr>
          <w:rFonts w:eastAsia="黑体"/>
          <w:color w:val="000000"/>
        </w:rPr>
        <w:t>一、指导思想</w:t>
      </w:r>
    </w:p>
    <w:p>
      <w:pPr>
        <w:ind w:firstLine="640" w:firstLineChars="200"/>
        <w:rPr>
          <w:color w:val="000000"/>
        </w:rPr>
      </w:pPr>
      <w:r>
        <w:rPr>
          <w:szCs w:val="32"/>
        </w:rPr>
        <w:t>深入学习贯彻习近平新时代中国特色社会主义思想，</w:t>
      </w:r>
      <w:r>
        <w:rPr>
          <w:color w:val="000000"/>
        </w:rPr>
        <w:t>按照“五位一体”总体布局和“四个全面”的战略布局，践行创新、协调、绿色、开放、共享的发展理念，坚持法治宣传教育与社会主义核心价值体系教育相结合、与社会主义法治理念教育相结合，与依法行政依法理财相结合，继续深入开展财政法治宣传教育，为财政改革与发展营造良好的法治环境。</w:t>
      </w:r>
    </w:p>
    <w:p>
      <w:pPr>
        <w:ind w:firstLine="640" w:firstLineChars="200"/>
        <w:rPr>
          <w:color w:val="000000"/>
        </w:rPr>
      </w:pPr>
      <w:r>
        <w:rPr>
          <w:rFonts w:eastAsia="黑体"/>
          <w:color w:val="000000"/>
        </w:rPr>
        <w:t>二、工作目标</w:t>
      </w:r>
    </w:p>
    <w:p>
      <w:pPr>
        <w:ind w:firstLine="640" w:firstLineChars="200"/>
        <w:rPr>
          <w:color w:val="000000"/>
          <w:shd w:val="clear" w:color="auto" w:fill="FFFFFF"/>
        </w:rPr>
      </w:pPr>
      <w:r>
        <w:rPr>
          <w:color w:val="000000"/>
          <w:shd w:val="clear" w:color="auto" w:fill="FFFFFF"/>
        </w:rPr>
        <w:t>财政法治宣传教育领导体制和工作机制进一步健全，“谁执法、谁普法”主体责任落到实处，财政法治宣传教育实效性进一步增强，依法行政、依法理财观念进一步深化，依法管理、服务水平进一步提升，形成财政系统内部自觉运用法治思维和法治方式深化改革、推动发展、化解矛盾、维护稳定的良好法治环境，推动全社会财政法律意识和法治观念进一步增强，法治财政建设不断取得进展。</w:t>
      </w:r>
    </w:p>
    <w:p>
      <w:pPr>
        <w:ind w:firstLine="640" w:firstLineChars="200"/>
        <w:rPr>
          <w:rFonts w:eastAsia="黑体"/>
          <w:color w:val="000000"/>
        </w:rPr>
      </w:pPr>
      <w:r>
        <w:rPr>
          <w:rFonts w:eastAsia="黑体"/>
          <w:color w:val="000000"/>
        </w:rPr>
        <w:t>三、主要工作计划</w:t>
      </w:r>
    </w:p>
    <w:p>
      <w:pPr>
        <w:ind w:firstLine="642" w:firstLineChars="200"/>
        <w:rPr>
          <w:rFonts w:eastAsia="楷体"/>
          <w:sz w:val="24"/>
          <w:shd w:val="clear" w:color="auto" w:fill="FFFFFF"/>
        </w:rPr>
      </w:pPr>
      <w:r>
        <w:rPr>
          <w:rFonts w:eastAsia="楷体"/>
          <w:b/>
          <w:color w:val="000000"/>
          <w:shd w:val="clear" w:color="auto" w:fill="FFFFFF"/>
        </w:rPr>
        <w:t>（一）突出抓好普法宣传教育重点</w:t>
      </w:r>
    </w:p>
    <w:p>
      <w:pPr>
        <w:ind w:firstLine="640" w:firstLineChars="200"/>
        <w:rPr>
          <w:szCs w:val="32"/>
        </w:rPr>
      </w:pPr>
      <w:r>
        <w:rPr>
          <w:color w:val="000000"/>
          <w:kern w:val="0"/>
          <w:shd w:val="clear" w:color="auto" w:fill="FFFFFF"/>
        </w:rPr>
        <w:t>1.</w:t>
      </w:r>
      <w:r>
        <w:rPr>
          <w:szCs w:val="32"/>
        </w:rPr>
        <w:t>深入学习宣传习近平总书记全面依法治国新理念、新思想、新战略和全面从严治党的一系列重要论述，学习宣传习近平总书记视察广东重要讲话和在中央政法工作会议上的重要讲话精神，自觉把习近平新时代中国特色社会主义思想作为普法依法治理工作的思想旗帜、理论指导和根本遵循。学习省部级主要领导干部坚持底线思维着力防范化解重大风险专题研讨班上的重要讲话精神，全面落实中央和省委、市委提出的法治建设各项任务，指导党员干部往深里学、往实处做，持续深化习近平新时代中国特色社会主义思想在财政党员干部的引领作用，始终在思想上政治上行动上同以习近平同志为核心的党中央保持高度一致。</w:t>
      </w:r>
    </w:p>
    <w:p>
      <w:pPr>
        <w:ind w:firstLine="640" w:firstLineChars="200"/>
        <w:rPr>
          <w:color w:val="000000"/>
          <w:shd w:val="clear" w:color="auto" w:fill="FFFFFF"/>
        </w:rPr>
      </w:pPr>
      <w:r>
        <w:rPr>
          <w:color w:val="000000"/>
          <w:shd w:val="clear" w:color="auto" w:fill="FFFFFF"/>
        </w:rPr>
        <w:t>2.</w:t>
      </w:r>
      <w:r>
        <w:rPr>
          <w:szCs w:val="32"/>
        </w:rPr>
        <w:t>推进宪法学习宣传和贯彻实施。把宪法列入干部学法和培训重要内容，</w:t>
      </w:r>
      <w:r>
        <w:rPr>
          <w:color w:val="000000"/>
          <w:shd w:val="clear" w:color="auto" w:fill="FFFFFF"/>
        </w:rPr>
        <w:t>继续把宪法的学习宣传作为贯穿全市财政系统普法教育工作始终的一项重要任务，进一步增强全市财政干部职工的宪法意识、爱国意识、国家安全和统一意识以及民主法治观念,形成崇尚宪法、遵守宪法，维护宪法权威的良好氛围，促进宪法得到一体遵行。</w:t>
      </w:r>
    </w:p>
    <w:p>
      <w:pPr>
        <w:ind w:firstLine="640" w:firstLineChars="200"/>
        <w:rPr>
          <w:rFonts w:eastAsia="Calibri"/>
          <w:sz w:val="24"/>
          <w:szCs w:val="22"/>
          <w:shd w:val="clear" w:color="auto" w:fill="FFFFFF"/>
        </w:rPr>
      </w:pPr>
      <w:r>
        <w:rPr>
          <w:color w:val="000000"/>
          <w:shd w:val="clear" w:color="auto" w:fill="FFFFFF"/>
        </w:rPr>
        <w:t>3.</w:t>
      </w:r>
      <w:r>
        <w:rPr>
          <w:szCs w:val="32"/>
        </w:rPr>
        <w:t>加强党对法治建设的领导。发挥党组在推进本局法治建设的领导核心作用，定期组织理论学习和学法活动，听取法治建设工作汇报，将法治建设纳入局年度工作计划。</w:t>
      </w:r>
    </w:p>
    <w:p>
      <w:pPr>
        <w:ind w:firstLine="640" w:firstLineChars="200"/>
        <w:rPr>
          <w:color w:val="000000"/>
          <w:shd w:val="clear" w:color="auto" w:fill="FFFFFF"/>
        </w:rPr>
      </w:pPr>
      <w:r>
        <w:rPr>
          <w:color w:val="000000"/>
          <w:kern w:val="0"/>
          <w:shd w:val="clear" w:color="auto" w:fill="FFFFFF"/>
        </w:rPr>
        <w:t>4.加强扫黑除恶专项斗争、国家基本法律知识和全市重点普及法律法规的学习宣传。紧扣全市改革、发展、稳定大局和人民群众的现实需求，结合“4.15”全民国家安全教育日、“6.26”国际禁毒日、“12.4”国家宪法日的重要时点，采取安排自学、集中培训、举办讲座等多种形式，深入学习宣传与公民生活密切相关的国家基本法律知识。</w:t>
      </w:r>
    </w:p>
    <w:p>
      <w:pPr>
        <w:ind w:firstLine="640" w:firstLineChars="200"/>
        <w:rPr>
          <w:color w:val="000000"/>
          <w:shd w:val="clear" w:color="auto" w:fill="FFFFFF"/>
        </w:rPr>
      </w:pPr>
      <w:r>
        <w:rPr>
          <w:color w:val="000000"/>
          <w:shd w:val="clear" w:color="auto" w:fill="FFFFFF"/>
        </w:rPr>
        <w:t>5.加强财经法规政策学习宣传。配合国家财政法律改革进程，进一步学习宣传《预算法》《会计法》《财政违法行为处罚处分条例》、各单行税法等各项财政法律、行政法规。围绕财政中心工作，进一步学习宣传各项重大财政政策及各项财政工作办事规则，全面推进财政管理和各项财政工作的法治化、科学化、精细化，促进经济平稳较快发展。</w:t>
      </w:r>
    </w:p>
    <w:p>
      <w:pPr>
        <w:tabs>
          <w:tab w:val="left" w:pos="738"/>
        </w:tabs>
        <w:ind w:firstLine="642" w:firstLineChars="200"/>
        <w:rPr>
          <w:rFonts w:eastAsia="楷体"/>
          <w:b/>
          <w:color w:val="000000"/>
          <w:shd w:val="clear" w:color="auto" w:fill="FFFFFF"/>
        </w:rPr>
      </w:pPr>
      <w:r>
        <w:rPr>
          <w:rFonts w:eastAsia="楷体"/>
          <w:b/>
          <w:color w:val="000000"/>
          <w:shd w:val="clear" w:color="auto" w:fill="FFFFFF"/>
        </w:rPr>
        <w:t>（二）突出抓好普法学习制度建设</w:t>
      </w:r>
    </w:p>
    <w:p>
      <w:pPr>
        <w:tabs>
          <w:tab w:val="left" w:pos="738"/>
        </w:tabs>
        <w:ind w:firstLine="642" w:firstLineChars="200"/>
        <w:rPr>
          <w:color w:val="000000"/>
          <w:shd w:val="clear" w:color="auto" w:fill="FFFFFF"/>
        </w:rPr>
      </w:pPr>
      <w:r>
        <w:rPr>
          <w:b/>
          <w:color w:val="000000"/>
          <w:shd w:val="clear" w:color="auto" w:fill="FFFFFF"/>
        </w:rPr>
        <w:t>1.</w:t>
      </w:r>
      <w:r>
        <w:rPr>
          <w:color w:val="000000"/>
          <w:shd w:val="clear" w:color="auto" w:fill="FFFFFF"/>
        </w:rPr>
        <w:t xml:space="preserve">制定2020年市财政局党组中心组理论学习计划、组织开展“两学一做”学习教育，明确党组开展廉政学习内容及进度，进一步完善领导干部学法制度，确保局班子成员全年集中学习法律法规知识不少于1次，中层以上领导学习不少于1次。    </w:t>
      </w:r>
    </w:p>
    <w:p>
      <w:pPr>
        <w:ind w:firstLine="640" w:firstLineChars="200"/>
        <w:rPr>
          <w:rFonts w:eastAsia="Calibri"/>
          <w:sz w:val="24"/>
          <w:shd w:val="clear" w:color="auto" w:fill="FFFFFF"/>
        </w:rPr>
      </w:pPr>
      <w:r>
        <w:rPr>
          <w:color w:val="000000"/>
          <w:shd w:val="clear" w:color="auto" w:fill="FFFFFF"/>
        </w:rPr>
        <w:t>2.强化学习型财政机关建设。依托广东省国家公职人员学法用法系统、广东省干部培训网络学院等实行领导干部带头学法，确保全局干部职工按要求完成每年自学学时或学分；积极参加上级财政部门和市普法办组织的各类普法竞赛、法律知识微考学和学法考试，确保财政干部参加率和合格率要求达到100%。</w:t>
      </w:r>
    </w:p>
    <w:p>
      <w:pPr>
        <w:ind w:firstLine="642" w:firstLineChars="200"/>
        <w:rPr>
          <w:rFonts w:eastAsia="楷体"/>
          <w:b/>
          <w:color w:val="000000"/>
          <w:shd w:val="clear" w:color="auto" w:fill="FFFFFF"/>
        </w:rPr>
      </w:pPr>
      <w:r>
        <w:rPr>
          <w:rFonts w:eastAsia="楷体"/>
          <w:b/>
          <w:color w:val="000000"/>
          <w:shd w:val="clear" w:color="auto" w:fill="FFFFFF"/>
        </w:rPr>
        <w:t>（三）突出抓好普法宣传创新工作</w:t>
      </w:r>
    </w:p>
    <w:p>
      <w:pPr>
        <w:ind w:firstLine="640" w:firstLineChars="200"/>
        <w:rPr>
          <w:color w:val="000000"/>
          <w:shd w:val="clear" w:color="auto" w:fill="FFFFFF"/>
        </w:rPr>
      </w:pPr>
      <w:r>
        <w:rPr>
          <w:color w:val="000000"/>
          <w:shd w:val="clear" w:color="auto" w:fill="FFFFFF"/>
        </w:rPr>
        <w:t>采取干部群众喜闻乐见方式，多渠道、多形式宣传财政法律法规，切实增强宣传教育的效果。2020年计划构建全媒体法治宣传网络，鼓励、引导局干部职工随时轻松学习实用法律知识；依托“请进来，走出去”的形式，不断扩大宣传覆盖面和宣传效果。</w:t>
      </w:r>
    </w:p>
    <w:p>
      <w:pPr>
        <w:ind w:firstLine="642" w:firstLineChars="200"/>
        <w:rPr>
          <w:rFonts w:eastAsia="楷体"/>
          <w:color w:val="000000"/>
          <w:shd w:val="clear" w:color="auto" w:fill="FFFFFF"/>
        </w:rPr>
      </w:pPr>
      <w:r>
        <w:rPr>
          <w:rFonts w:eastAsia="楷体"/>
          <w:b/>
          <w:color w:val="000000"/>
          <w:shd w:val="clear" w:color="auto" w:fill="FFFFFF"/>
        </w:rPr>
        <w:t>（四）突出抓好依法治理创建工作</w:t>
      </w:r>
    </w:p>
    <w:p>
      <w:pPr>
        <w:ind w:firstLine="640" w:firstLineChars="200"/>
        <w:rPr>
          <w:rFonts w:eastAsia="Calibri"/>
          <w:sz w:val="21"/>
        </w:rPr>
      </w:pPr>
      <w:r>
        <w:rPr>
          <w:color w:val="000000"/>
        </w:rPr>
        <w:t>围绕市普法办和局普法规划各项工作要求，结合财政中心工作，明确局依法行政工作重点，并逐项抓好落实，确保局依法行政工作有新成效、新进展。坚持局领导班子民主决策制度。凡涉及财政重大事项均实行局领导班子集体决策、民主决策办法；进一步规范行政决策程序，加强决策督查反馈，建立行政问责制，有效解决不作为、乱作为和有令不行、有禁不止问题，确保政令畅通；严抓内部监督。根据《佛山市财政局谈话提醒制度》，不断深化财政惩防体系建设，加强廉政风险防控；全面落实党风廉政建设责任制，健全教育、制度、监督并重的惩治和预防腐败体系，加大对行政自由裁量权、政府采购等领域的监督力度，惩防并举，建设廉洁机关；完善和推行执法责任制、执法公示制、执法过错责任追究制，有效提高财政依法行政、依法治理工作水平。</w:t>
      </w:r>
    </w:p>
    <w:p>
      <w:pPr>
        <w:ind w:firstLine="640" w:firstLineChars="200"/>
        <w:rPr>
          <w:color w:val="000000"/>
        </w:rPr>
      </w:pPr>
      <w:r>
        <w:rPr>
          <w:rFonts w:eastAsia="黑体"/>
          <w:color w:val="000000"/>
        </w:rPr>
        <w:t>四、保障措施</w:t>
      </w:r>
    </w:p>
    <w:p>
      <w:pPr>
        <w:ind w:firstLine="642" w:firstLineChars="200"/>
        <w:rPr>
          <w:rFonts w:eastAsia="楷体"/>
          <w:b/>
          <w:color w:val="000000"/>
        </w:rPr>
      </w:pPr>
      <w:r>
        <w:rPr>
          <w:rFonts w:eastAsia="楷体"/>
          <w:b/>
          <w:color w:val="000000"/>
        </w:rPr>
        <w:t>（一）加强组织领导，健全工作机制</w:t>
      </w:r>
    </w:p>
    <w:p>
      <w:pPr>
        <w:ind w:firstLine="640" w:firstLineChars="200"/>
        <w:rPr>
          <w:rFonts w:eastAsia="Calibri"/>
          <w:sz w:val="21"/>
        </w:rPr>
      </w:pPr>
      <w:r>
        <w:rPr>
          <w:color w:val="000000"/>
        </w:rPr>
        <w:t>按照年度普法工作计划要求，加大组织实施力度，认真落实各项工作措施，确保年度普法工作计划按时完成。同时，认真落实普法经费保障机制，优先安排和保障局普法工作经费，确保普法教育学习需要，做到普法教材订购到位，方便干部职工普法学习。</w:t>
      </w:r>
    </w:p>
    <w:p>
      <w:pPr>
        <w:ind w:firstLine="642" w:firstLineChars="200"/>
        <w:rPr>
          <w:rFonts w:eastAsia="楷体"/>
          <w:b/>
          <w:color w:val="000000"/>
        </w:rPr>
      </w:pPr>
      <w:r>
        <w:rPr>
          <w:rFonts w:eastAsia="楷体"/>
          <w:b/>
          <w:color w:val="000000"/>
        </w:rPr>
        <w:t>（二）强化宣传教育，营造良好氛围</w:t>
      </w:r>
    </w:p>
    <w:p>
      <w:pPr>
        <w:ind w:firstLine="640" w:firstLineChars="200"/>
        <w:rPr>
          <w:rFonts w:eastAsia="Calibri"/>
          <w:sz w:val="21"/>
        </w:rPr>
      </w:pPr>
      <w:r>
        <w:rPr>
          <w:color w:val="000000"/>
        </w:rPr>
        <w:t>采取领导专题辅导、专家授课、集体学习讨论、撰写心得体会、组织理论测试等多种法治宣传教育形式，丰富学法形式，增强学法效果，不断提高全局干部职工“学法、知法、懂法、用法”的自觉性。同时，采取局网站设置专栏、宣传栏、微信等多种媒体，大力宣传财政普法工作和财经法律法规，不断财政普法宣传效果。</w:t>
      </w:r>
    </w:p>
    <w:p>
      <w:pPr>
        <w:ind w:firstLine="642" w:firstLineChars="200"/>
        <w:rPr>
          <w:rFonts w:eastAsia="楷体"/>
          <w:b/>
          <w:color w:val="000000"/>
        </w:rPr>
      </w:pPr>
      <w:r>
        <w:rPr>
          <w:rFonts w:eastAsia="楷体"/>
          <w:b/>
          <w:color w:val="000000"/>
        </w:rPr>
        <w:t>（三）健全执法机制，强化监督管理</w:t>
      </w:r>
    </w:p>
    <w:p>
      <w:pPr>
        <w:ind w:firstLine="640" w:firstLineChars="200"/>
        <w:rPr>
          <w:rFonts w:eastAsia="Calibri"/>
          <w:sz w:val="21"/>
        </w:rPr>
      </w:pPr>
      <w:r>
        <w:rPr>
          <w:color w:val="000000"/>
        </w:rPr>
        <w:t>进一步落实全面推进依法行政，建立健全行政执法评议考核制度和执法过错追究制度等工作，不断提高财政依法行政、依法理财水平；积极推行重大决策前的法律咨询审核制度，聘请律师担任局机关法律顾问，不断提高财政涉法事务的依法办理水平。</w:t>
      </w:r>
    </w:p>
    <w:p>
      <w:pPr>
        <w:ind w:firstLine="642" w:firstLineChars="200"/>
        <w:rPr>
          <w:rFonts w:eastAsia="楷体"/>
          <w:b/>
          <w:color w:val="000000"/>
        </w:rPr>
      </w:pPr>
      <w:r>
        <w:rPr>
          <w:rFonts w:eastAsia="楷体"/>
          <w:b/>
          <w:color w:val="000000"/>
        </w:rPr>
        <w:t>（四）落实责任考核，确保工作实效</w:t>
      </w:r>
    </w:p>
    <w:p>
      <w:pPr>
        <w:ind w:firstLine="640" w:firstLineChars="200"/>
        <w:rPr>
          <w:color w:val="000000"/>
        </w:rPr>
      </w:pPr>
      <w:r>
        <w:rPr>
          <w:color w:val="000000"/>
        </w:rPr>
        <w:t>把普法和依法治理工作列入重要议事日程，建立主要领导亲自抓、分管领导负责抓、科室具体抓，一级对一级负责、层层抓落实的工作机制，切实提高财政干职工普法学习的积极性和主动性。</w:t>
      </w:r>
    </w:p>
    <w:p>
      <w:pPr>
        <w:ind w:firstLine="640" w:firstLineChars="200"/>
        <w:rPr>
          <w:color w:val="000000"/>
        </w:rPr>
      </w:pPr>
    </w:p>
    <w:p>
      <w:pPr>
        <w:ind w:firstLine="640" w:firstLineChars="200"/>
        <w:rPr>
          <w:color w:val="000000"/>
        </w:rPr>
      </w:pPr>
      <w:r>
        <w:rPr>
          <w:color w:val="000000"/>
        </w:rPr>
        <w:t>附件：2020年度佛山市财政局法治宣传教育工作安排表</w:t>
      </w:r>
    </w:p>
    <w:p>
      <w:pPr>
        <w:ind w:right="160" w:firstLine="640" w:firstLineChars="200"/>
        <w:jc w:val="right"/>
        <w:rPr>
          <w:color w:val="000000"/>
        </w:rPr>
      </w:pPr>
    </w:p>
    <w:p>
      <w:pPr>
        <w:ind w:right="160" w:firstLine="640" w:firstLineChars="200"/>
        <w:jc w:val="right"/>
        <w:rPr>
          <w:color w:val="000000"/>
        </w:rPr>
      </w:pPr>
    </w:p>
    <w:p>
      <w:pPr>
        <w:wordWrap w:val="0"/>
        <w:ind w:right="800" w:firstLine="640" w:firstLineChars="200"/>
        <w:jc w:val="center"/>
        <w:rPr>
          <w:color w:val="000000"/>
        </w:rPr>
      </w:pPr>
      <w:r>
        <w:rPr>
          <w:color w:val="000000"/>
        </w:rPr>
        <w:t xml:space="preserve">                          佛山市财政局   </w:t>
      </w:r>
    </w:p>
    <w:p>
      <w:pPr>
        <w:wordWrap w:val="0"/>
        <w:ind w:right="1229" w:rightChars="384" w:firstLine="640" w:firstLineChars="200"/>
        <w:jc w:val="right"/>
        <w:rPr>
          <w:rFonts w:eastAsia="黑体"/>
        </w:rPr>
        <w:sectPr>
          <w:footerReference r:id="rId5" w:type="default"/>
          <w:footerReference r:id="rId6" w:type="even"/>
          <w:pgSz w:w="11907" w:h="16840"/>
          <w:pgMar w:top="2098" w:right="1474" w:bottom="1985" w:left="1588" w:header="0" w:footer="1588" w:gutter="0"/>
          <w:pgNumType w:fmt="numberInDash"/>
          <w:cols w:space="425" w:num="1"/>
          <w:docGrid w:linePitch="626" w:charSpace="1638"/>
        </w:sectPr>
      </w:pPr>
      <w:r>
        <w:rPr>
          <w:color w:val="000000"/>
        </w:rPr>
        <w:t xml:space="preserve">                        2020年4月</w:t>
      </w:r>
      <w:r>
        <w:rPr>
          <w:rFonts w:hint="eastAsia"/>
          <w:color w:val="000000"/>
        </w:rPr>
        <w:t>23</w:t>
      </w:r>
      <w:r>
        <w:rPr>
          <w:color w:val="000000"/>
        </w:rPr>
        <w:t>日</w:t>
      </w:r>
    </w:p>
    <w:p>
      <w:pPr>
        <w:rPr>
          <w:rFonts w:eastAsia="黑体"/>
        </w:rPr>
      </w:pPr>
      <w:r>
        <w:rPr>
          <w:rFonts w:eastAsia="黑体"/>
        </w:rPr>
        <w:t>附件</w:t>
      </w:r>
    </w:p>
    <w:p>
      <w:pPr>
        <w:jc w:val="center"/>
        <w:rPr>
          <w:rFonts w:eastAsia="方正小标宋简体"/>
          <w:color w:val="000000"/>
          <w:sz w:val="36"/>
          <w:shd w:val="clear" w:color="auto" w:fill="FFFFFF"/>
        </w:rPr>
      </w:pPr>
      <w:r>
        <w:rPr>
          <w:rFonts w:eastAsia="方正小标宋简体"/>
          <w:color w:val="000000"/>
          <w:sz w:val="36"/>
          <w:shd w:val="clear" w:color="auto" w:fill="FFFFFF"/>
        </w:rPr>
        <w:t>2020年度佛山市财政局法治宣传教育工作安排表</w:t>
      </w:r>
    </w:p>
    <w:p>
      <w:pPr>
        <w:spacing w:line="240" w:lineRule="auto"/>
        <w:rPr>
          <w:color w:val="000000"/>
          <w:sz w:val="28"/>
          <w:szCs w:val="28"/>
          <w:shd w:val="clear" w:color="auto" w:fill="FFFFFF"/>
        </w:rPr>
      </w:pPr>
    </w:p>
    <w:tbl>
      <w:tblPr>
        <w:tblStyle w:val="6"/>
        <w:tblW w:w="9645" w:type="dxa"/>
        <w:tblInd w:w="-34" w:type="dxa"/>
        <w:tblLayout w:type="fixed"/>
        <w:tblCellMar>
          <w:top w:w="0" w:type="dxa"/>
          <w:left w:w="10" w:type="dxa"/>
          <w:bottom w:w="0" w:type="dxa"/>
          <w:right w:w="10" w:type="dxa"/>
        </w:tblCellMar>
      </w:tblPr>
      <w:tblGrid>
        <w:gridCol w:w="2793"/>
        <w:gridCol w:w="1065"/>
        <w:gridCol w:w="1553"/>
        <w:gridCol w:w="982"/>
        <w:gridCol w:w="1272"/>
        <w:gridCol w:w="885"/>
        <w:gridCol w:w="1095"/>
      </w:tblGrid>
      <w:tr>
        <w:tblPrEx>
          <w:tblCellMar>
            <w:top w:w="0" w:type="dxa"/>
            <w:left w:w="10" w:type="dxa"/>
            <w:bottom w:w="0" w:type="dxa"/>
            <w:right w:w="10" w:type="dxa"/>
          </w:tblCellMar>
        </w:tblPrEx>
        <w:trPr>
          <w:trHeight w:val="953" w:hRule="atLeast"/>
        </w:trPr>
        <w:tc>
          <w:tcPr>
            <w:tcW w:w="279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b/>
                <w:sz w:val="28"/>
                <w:szCs w:val="28"/>
              </w:rPr>
            </w:pPr>
            <w:r>
              <w:rPr>
                <w:b/>
                <w:color w:val="000000"/>
                <w:sz w:val="28"/>
                <w:szCs w:val="28"/>
              </w:rPr>
              <w:t>目标任务</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color w:val="000000"/>
                <w:sz w:val="28"/>
                <w:szCs w:val="28"/>
              </w:rPr>
            </w:pPr>
            <w:r>
              <w:rPr>
                <w:b/>
                <w:color w:val="000000"/>
                <w:sz w:val="28"/>
                <w:szCs w:val="28"/>
              </w:rPr>
              <w:t>宣传主题</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b/>
                <w:sz w:val="28"/>
                <w:szCs w:val="28"/>
              </w:rPr>
            </w:pPr>
            <w:r>
              <w:rPr>
                <w:b/>
                <w:color w:val="000000"/>
                <w:sz w:val="28"/>
                <w:szCs w:val="28"/>
              </w:rPr>
              <w:t>重点法律法规</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b/>
                <w:sz w:val="28"/>
                <w:szCs w:val="28"/>
              </w:rPr>
            </w:pPr>
            <w:r>
              <w:rPr>
                <w:b/>
                <w:color w:val="000000"/>
                <w:sz w:val="28"/>
                <w:szCs w:val="28"/>
              </w:rPr>
              <w:t>宣传对象</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b/>
                <w:sz w:val="28"/>
                <w:szCs w:val="28"/>
              </w:rPr>
            </w:pPr>
            <w:r>
              <w:rPr>
                <w:b/>
                <w:color w:val="000000"/>
                <w:sz w:val="28"/>
                <w:szCs w:val="28"/>
              </w:rPr>
              <w:t>活动方式</w:t>
            </w: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b/>
                <w:sz w:val="28"/>
                <w:szCs w:val="28"/>
              </w:rPr>
            </w:pPr>
            <w:r>
              <w:rPr>
                <w:b/>
                <w:color w:val="000000"/>
                <w:sz w:val="28"/>
                <w:szCs w:val="28"/>
              </w:rPr>
              <w:t>活动时间</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color w:val="000000"/>
                <w:sz w:val="28"/>
                <w:szCs w:val="28"/>
              </w:rPr>
            </w:pPr>
            <w:r>
              <w:rPr>
                <w:b/>
                <w:color w:val="000000"/>
                <w:sz w:val="28"/>
                <w:szCs w:val="28"/>
              </w:rPr>
              <w:t>主办科室</w:t>
            </w:r>
          </w:p>
        </w:tc>
      </w:tr>
      <w:tr>
        <w:tblPrEx>
          <w:tblCellMar>
            <w:top w:w="0" w:type="dxa"/>
            <w:left w:w="10" w:type="dxa"/>
            <w:bottom w:w="0" w:type="dxa"/>
            <w:right w:w="10" w:type="dxa"/>
          </w:tblCellMar>
        </w:tblPrEx>
        <w:trPr>
          <w:trHeight w:val="2482" w:hRule="atLeast"/>
        </w:trPr>
        <w:tc>
          <w:tcPr>
            <w:tcW w:w="279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color w:val="000000"/>
                <w:sz w:val="24"/>
                <w:szCs w:val="24"/>
              </w:rPr>
            </w:pPr>
            <w:r>
              <w:rPr>
                <w:kern w:val="0"/>
                <w:sz w:val="24"/>
                <w:szCs w:val="24"/>
              </w:rPr>
              <w:t>1．组织</w:t>
            </w:r>
            <w:r>
              <w:rPr>
                <w:sz w:val="24"/>
                <w:szCs w:val="24"/>
              </w:rPr>
              <w:t>党组集中学法活动不少于1次，中层以上领导学习不少于1次</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24"/>
                <w:szCs w:val="24"/>
              </w:rPr>
            </w:pPr>
            <w:r>
              <w:rPr>
                <w:sz w:val="24"/>
                <w:szCs w:val="24"/>
              </w:rPr>
              <w:t>宪法、党内法规学习宣传</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color w:val="000000"/>
                <w:sz w:val="24"/>
                <w:szCs w:val="24"/>
              </w:rPr>
            </w:pPr>
            <w:r>
              <w:rPr>
                <w:color w:val="000000"/>
                <w:sz w:val="24"/>
                <w:szCs w:val="24"/>
              </w:rPr>
              <w:t>宪法、党章、《廉洁自律准则》、《</w:t>
            </w:r>
            <w:r>
              <w:rPr>
                <w:rFonts w:hint="eastAsia"/>
                <w:color w:val="000000"/>
                <w:sz w:val="24"/>
                <w:szCs w:val="24"/>
              </w:rPr>
              <w:t>中国共产党</w:t>
            </w:r>
            <w:r>
              <w:rPr>
                <w:color w:val="000000"/>
                <w:sz w:val="24"/>
                <w:szCs w:val="24"/>
              </w:rPr>
              <w:t>纪律处分条例》</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color w:val="000000"/>
                <w:sz w:val="24"/>
                <w:szCs w:val="24"/>
              </w:rPr>
            </w:pPr>
            <w:r>
              <w:rPr>
                <w:color w:val="000000"/>
                <w:sz w:val="24"/>
                <w:szCs w:val="24"/>
              </w:rPr>
              <w:t>局党组</w:t>
            </w:r>
          </w:p>
          <w:p>
            <w:pPr>
              <w:spacing w:line="276" w:lineRule="auto"/>
              <w:rPr>
                <w:color w:val="000000"/>
                <w:sz w:val="24"/>
                <w:szCs w:val="24"/>
              </w:rPr>
            </w:pPr>
            <w:r>
              <w:rPr>
                <w:color w:val="000000"/>
                <w:sz w:val="24"/>
                <w:szCs w:val="24"/>
              </w:rPr>
              <w:t>成员、中层以上领导</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color w:val="000000"/>
                <w:sz w:val="24"/>
                <w:szCs w:val="24"/>
              </w:rPr>
            </w:pPr>
            <w:r>
              <w:rPr>
                <w:sz w:val="24"/>
                <w:szCs w:val="24"/>
              </w:rPr>
              <w:t>党组理论学习中心组扩大学习</w:t>
            </w: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color w:val="000000"/>
                <w:sz w:val="24"/>
                <w:szCs w:val="24"/>
              </w:rPr>
            </w:pPr>
            <w:r>
              <w:rPr>
                <w:color w:val="000000"/>
                <w:sz w:val="24"/>
                <w:szCs w:val="24"/>
              </w:rPr>
              <w:t>2020年底前完成</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rPr>
                <w:color w:val="000000"/>
                <w:sz w:val="24"/>
                <w:szCs w:val="24"/>
              </w:rPr>
            </w:pPr>
            <w:r>
              <w:rPr>
                <w:color w:val="000000"/>
                <w:sz w:val="24"/>
                <w:szCs w:val="24"/>
              </w:rPr>
              <w:t>人事科</w:t>
            </w:r>
          </w:p>
        </w:tc>
      </w:tr>
      <w:tr>
        <w:tblPrEx>
          <w:tblCellMar>
            <w:top w:w="0" w:type="dxa"/>
            <w:left w:w="10" w:type="dxa"/>
            <w:bottom w:w="0" w:type="dxa"/>
            <w:right w:w="10" w:type="dxa"/>
          </w:tblCellMar>
        </w:tblPrEx>
        <w:trPr>
          <w:trHeight w:val="2657" w:hRule="atLeast"/>
        </w:trPr>
        <w:tc>
          <w:tcPr>
            <w:tcW w:w="279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color w:val="000000"/>
                <w:sz w:val="24"/>
                <w:szCs w:val="24"/>
              </w:rPr>
            </w:pPr>
            <w:r>
              <w:rPr>
                <w:sz w:val="24"/>
                <w:szCs w:val="24"/>
              </w:rPr>
              <w:t>2.</w:t>
            </w:r>
            <w:r>
              <w:rPr>
                <w:color w:val="000000"/>
                <w:sz w:val="24"/>
                <w:szCs w:val="24"/>
              </w:rPr>
              <w:t xml:space="preserve"> 落实从严治党要求，做合格共产党员</w:t>
            </w:r>
          </w:p>
          <w:p>
            <w:pPr>
              <w:rPr>
                <w:color w:val="000000"/>
                <w:sz w:val="24"/>
                <w:szCs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000000"/>
                <w:sz w:val="24"/>
                <w:szCs w:val="24"/>
              </w:rPr>
            </w:pPr>
            <w:r>
              <w:rPr>
                <w:color w:val="000000"/>
                <w:sz w:val="24"/>
                <w:szCs w:val="24"/>
              </w:rPr>
              <w:t>1.深入学习宣传习近平总书记全面依法治国重要论述；</w:t>
            </w:r>
          </w:p>
          <w:p>
            <w:pPr>
              <w:rPr>
                <w:color w:val="000000"/>
                <w:sz w:val="24"/>
                <w:szCs w:val="24"/>
              </w:rPr>
            </w:pPr>
            <w:r>
              <w:rPr>
                <w:color w:val="000000"/>
                <w:sz w:val="24"/>
                <w:szCs w:val="24"/>
              </w:rPr>
              <w:t>2.党章党规党纪和法律知识宣传</w:t>
            </w:r>
          </w:p>
          <w:p>
            <w:pPr>
              <w:rPr>
                <w:color w:val="000000"/>
                <w:sz w:val="24"/>
                <w:szCs w:val="24"/>
              </w:rPr>
            </w:pP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color w:val="000000"/>
                <w:sz w:val="24"/>
                <w:szCs w:val="24"/>
              </w:rPr>
            </w:pPr>
            <w:r>
              <w:rPr>
                <w:color w:val="000000"/>
                <w:sz w:val="24"/>
                <w:szCs w:val="24"/>
              </w:rPr>
              <w:t>1.学习习近平总书记全面依法治国新理念、新思想、新战略和全面从严治党的一系列重要论述等。</w:t>
            </w:r>
          </w:p>
          <w:p>
            <w:pPr>
              <w:spacing w:line="276" w:lineRule="auto"/>
              <w:rPr>
                <w:color w:val="000000"/>
                <w:sz w:val="24"/>
                <w:szCs w:val="24"/>
              </w:rPr>
            </w:pPr>
            <w:r>
              <w:rPr>
                <w:color w:val="000000"/>
                <w:sz w:val="24"/>
                <w:szCs w:val="24"/>
              </w:rPr>
              <w:t>2.宪法、党章、《</w:t>
            </w:r>
            <w:r>
              <w:rPr>
                <w:rFonts w:hint="eastAsia"/>
                <w:color w:val="000000"/>
                <w:sz w:val="24"/>
                <w:szCs w:val="24"/>
              </w:rPr>
              <w:t>中国共产党</w:t>
            </w:r>
            <w:bookmarkStart w:id="1" w:name="_GoBack"/>
            <w:bookmarkEnd w:id="1"/>
            <w:r>
              <w:rPr>
                <w:color w:val="000000"/>
                <w:sz w:val="24"/>
                <w:szCs w:val="24"/>
              </w:rPr>
              <w:t>纪律处分条例》等党内法规</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sz w:val="24"/>
                <w:szCs w:val="24"/>
              </w:rPr>
            </w:pPr>
            <w:r>
              <w:rPr>
                <w:sz w:val="24"/>
                <w:szCs w:val="24"/>
              </w:rPr>
              <w:t>全体党员干部</w:t>
            </w:r>
          </w:p>
          <w:p>
            <w:pPr>
              <w:spacing w:line="276" w:lineRule="auto"/>
              <w:rPr>
                <w:color w:val="000000"/>
                <w:sz w:val="24"/>
                <w:szCs w:val="24"/>
              </w:rPr>
            </w:pP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sz w:val="24"/>
                <w:szCs w:val="24"/>
              </w:rPr>
            </w:pPr>
            <w:r>
              <w:rPr>
                <w:sz w:val="24"/>
                <w:szCs w:val="24"/>
              </w:rPr>
              <w:t>三会一课、自学、微考学</w:t>
            </w:r>
          </w:p>
          <w:p>
            <w:pPr>
              <w:spacing w:line="276" w:lineRule="auto"/>
              <w:rPr>
                <w:color w:val="000000"/>
                <w:sz w:val="24"/>
                <w:szCs w:val="24"/>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color w:val="000000"/>
                <w:sz w:val="24"/>
                <w:szCs w:val="24"/>
              </w:rPr>
            </w:pPr>
            <w:r>
              <w:rPr>
                <w:sz w:val="24"/>
                <w:szCs w:val="24"/>
              </w:rPr>
              <w:t>1.2020年底前完成；2.2020年6月底前完成</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rPr>
                <w:sz w:val="24"/>
                <w:szCs w:val="24"/>
              </w:rPr>
            </w:pPr>
            <w:r>
              <w:rPr>
                <w:sz w:val="24"/>
                <w:szCs w:val="24"/>
              </w:rPr>
              <w:t>人事科</w:t>
            </w:r>
          </w:p>
          <w:p>
            <w:pPr>
              <w:spacing w:line="276" w:lineRule="auto"/>
              <w:rPr>
                <w:color w:val="000000"/>
                <w:sz w:val="24"/>
                <w:szCs w:val="24"/>
              </w:rPr>
            </w:pPr>
          </w:p>
        </w:tc>
      </w:tr>
      <w:tr>
        <w:tblPrEx>
          <w:tblCellMar>
            <w:top w:w="0" w:type="dxa"/>
            <w:left w:w="10" w:type="dxa"/>
            <w:bottom w:w="0" w:type="dxa"/>
            <w:right w:w="10" w:type="dxa"/>
          </w:tblCellMar>
        </w:tblPrEx>
        <w:trPr>
          <w:trHeight w:val="698" w:hRule="atLeast"/>
        </w:trPr>
        <w:tc>
          <w:tcPr>
            <w:tcW w:w="279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sz w:val="24"/>
                <w:szCs w:val="24"/>
              </w:rPr>
            </w:pPr>
            <w:r>
              <w:rPr>
                <w:color w:val="000000"/>
                <w:sz w:val="24"/>
                <w:szCs w:val="24"/>
              </w:rPr>
              <w:t xml:space="preserve">3. </w:t>
            </w:r>
            <w:r>
              <w:rPr>
                <w:sz w:val="24"/>
                <w:szCs w:val="24"/>
              </w:rPr>
              <w:t>开展传染病疫情防控专项法治宣传月</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000000"/>
                <w:sz w:val="24"/>
                <w:szCs w:val="24"/>
              </w:rPr>
            </w:pPr>
            <w:r>
              <w:rPr>
                <w:sz w:val="24"/>
                <w:szCs w:val="24"/>
              </w:rPr>
              <w:t>传染病疫情防控法治宣传</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sz w:val="24"/>
                <w:szCs w:val="24"/>
              </w:rPr>
            </w:pPr>
            <w:r>
              <w:rPr>
                <w:color w:val="000000"/>
                <w:sz w:val="24"/>
                <w:szCs w:val="24"/>
              </w:rPr>
              <w:t>《中华人民共和国传染病防治法》《中华人民共和国野生动物保护法》《中华人民共和</w:t>
            </w:r>
            <w:r>
              <w:rPr>
                <w:rFonts w:hint="eastAsia"/>
                <w:color w:val="000000"/>
                <w:sz w:val="24"/>
                <w:szCs w:val="24"/>
                <w:lang w:eastAsia="zh-CN"/>
              </w:rPr>
              <w:t>国</w:t>
            </w:r>
            <w:r>
              <w:rPr>
                <w:color w:val="000000"/>
                <w:sz w:val="24"/>
                <w:szCs w:val="24"/>
              </w:rPr>
              <w:t>突发事件应对法》《突发公共卫生事件应急条例》等法律法规</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sz w:val="24"/>
                <w:szCs w:val="24"/>
              </w:rPr>
            </w:pPr>
            <w:r>
              <w:rPr>
                <w:color w:val="000000"/>
                <w:sz w:val="24"/>
                <w:szCs w:val="24"/>
              </w:rPr>
              <w:t>社会公众</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sz w:val="24"/>
                <w:szCs w:val="24"/>
              </w:rPr>
            </w:pPr>
            <w:r>
              <w:rPr>
                <w:sz w:val="24"/>
                <w:szCs w:val="24"/>
              </w:rPr>
              <w:t>微信公众号、大堂显示屏、海报</w:t>
            </w: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sz w:val="24"/>
                <w:szCs w:val="24"/>
              </w:rPr>
            </w:pPr>
            <w:r>
              <w:rPr>
                <w:sz w:val="24"/>
                <w:szCs w:val="24"/>
              </w:rPr>
              <w:t>2-3月份</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rPr>
                <w:sz w:val="24"/>
                <w:szCs w:val="24"/>
              </w:rPr>
            </w:pPr>
            <w:r>
              <w:rPr>
                <w:sz w:val="24"/>
                <w:szCs w:val="24"/>
              </w:rPr>
              <w:t>办公室（法规科）、人事科</w:t>
            </w:r>
          </w:p>
        </w:tc>
      </w:tr>
      <w:tr>
        <w:tblPrEx>
          <w:tblCellMar>
            <w:top w:w="0" w:type="dxa"/>
            <w:left w:w="10" w:type="dxa"/>
            <w:bottom w:w="0" w:type="dxa"/>
            <w:right w:w="10" w:type="dxa"/>
          </w:tblCellMar>
        </w:tblPrEx>
        <w:trPr>
          <w:trHeight w:val="698" w:hRule="atLeast"/>
        </w:trPr>
        <w:tc>
          <w:tcPr>
            <w:tcW w:w="279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color w:val="000000"/>
                <w:sz w:val="24"/>
                <w:szCs w:val="24"/>
              </w:rPr>
            </w:pPr>
            <w:r>
              <w:rPr>
                <w:color w:val="000000"/>
                <w:sz w:val="24"/>
                <w:szCs w:val="24"/>
              </w:rPr>
              <w:t>4.</w:t>
            </w:r>
            <w:r>
              <w:rPr>
                <w:sz w:val="24"/>
                <w:szCs w:val="24"/>
              </w:rPr>
              <w:t xml:space="preserve"> 组织开展法治讲座、法治学习、以案释法等活动不少于1 次</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24"/>
                <w:szCs w:val="24"/>
              </w:rPr>
            </w:pPr>
            <w:r>
              <w:rPr>
                <w:color w:val="000000"/>
                <w:sz w:val="24"/>
                <w:szCs w:val="24"/>
              </w:rPr>
              <w:t>党章党规党纪、《宪法》《行政诉讼法》等</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color w:val="000000"/>
                <w:sz w:val="24"/>
                <w:szCs w:val="24"/>
              </w:rPr>
            </w:pPr>
            <w:r>
              <w:rPr>
                <w:color w:val="000000"/>
                <w:sz w:val="24"/>
                <w:szCs w:val="24"/>
              </w:rPr>
              <w:t>党章党规党纪、《宪法》《行政诉讼法》以及其他新修订法律法规规章等的学习。</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color w:val="000000"/>
                <w:sz w:val="24"/>
                <w:szCs w:val="24"/>
              </w:rPr>
            </w:pPr>
            <w:r>
              <w:rPr>
                <w:color w:val="000000"/>
                <w:sz w:val="24"/>
                <w:szCs w:val="24"/>
              </w:rPr>
              <w:t>局全体干部职工</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sz w:val="24"/>
                <w:szCs w:val="24"/>
              </w:rPr>
            </w:pPr>
            <w:r>
              <w:rPr>
                <w:color w:val="000000"/>
                <w:sz w:val="24"/>
                <w:szCs w:val="24"/>
              </w:rPr>
              <w:t>专题学习</w:t>
            </w: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sz w:val="24"/>
                <w:szCs w:val="24"/>
              </w:rPr>
            </w:pPr>
            <w:r>
              <w:rPr>
                <w:color w:val="000000"/>
                <w:sz w:val="24"/>
                <w:szCs w:val="24"/>
              </w:rPr>
              <w:t>全年</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rPr>
                <w:sz w:val="24"/>
                <w:szCs w:val="24"/>
              </w:rPr>
            </w:pPr>
            <w:r>
              <w:rPr>
                <w:sz w:val="24"/>
                <w:szCs w:val="24"/>
              </w:rPr>
              <w:t>办公室（法规科）</w:t>
            </w:r>
          </w:p>
        </w:tc>
      </w:tr>
      <w:tr>
        <w:tblPrEx>
          <w:tblCellMar>
            <w:top w:w="0" w:type="dxa"/>
            <w:left w:w="10" w:type="dxa"/>
            <w:bottom w:w="0" w:type="dxa"/>
            <w:right w:w="10" w:type="dxa"/>
          </w:tblCellMar>
        </w:tblPrEx>
        <w:trPr>
          <w:trHeight w:val="4967" w:hRule="atLeast"/>
        </w:trPr>
        <w:tc>
          <w:tcPr>
            <w:tcW w:w="279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sz w:val="24"/>
                <w:szCs w:val="24"/>
              </w:rPr>
            </w:pPr>
            <w:r>
              <w:rPr>
                <w:sz w:val="24"/>
                <w:szCs w:val="24"/>
              </w:rPr>
              <w:t>5.在相关办公场所或政务网站公开据以履行职能职责的法律法规规章和相关办事程序、标准及期限。</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000000"/>
                <w:sz w:val="24"/>
                <w:szCs w:val="24"/>
              </w:rPr>
            </w:pPr>
            <w:r>
              <w:rPr>
                <w:color w:val="000000"/>
                <w:sz w:val="24"/>
                <w:szCs w:val="24"/>
              </w:rPr>
              <w:t>《会计法》《注册会计师法》《财政违法行为处罚处分条例》以及其他新修订法律法规规章等</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sz w:val="24"/>
                <w:szCs w:val="24"/>
              </w:rPr>
            </w:pPr>
            <w:r>
              <w:rPr>
                <w:color w:val="000000"/>
                <w:sz w:val="24"/>
                <w:szCs w:val="24"/>
              </w:rPr>
              <w:t>《会计法》《注册会计师法》《财政违法行为处罚处分条例》以及其他新修订法律法规规章等</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sz w:val="24"/>
                <w:szCs w:val="24"/>
              </w:rPr>
            </w:pPr>
            <w:r>
              <w:rPr>
                <w:color w:val="000000"/>
                <w:sz w:val="24"/>
                <w:szCs w:val="24"/>
              </w:rPr>
              <w:t>社会公众</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sz w:val="24"/>
                <w:szCs w:val="24"/>
              </w:rPr>
            </w:pPr>
            <w:r>
              <w:rPr>
                <w:color w:val="000000"/>
                <w:sz w:val="24"/>
                <w:szCs w:val="24"/>
              </w:rPr>
              <w:t>网络发布</w:t>
            </w: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sz w:val="24"/>
                <w:szCs w:val="24"/>
              </w:rPr>
            </w:pPr>
            <w:r>
              <w:rPr>
                <w:color w:val="000000"/>
                <w:sz w:val="24"/>
                <w:szCs w:val="24"/>
              </w:rPr>
              <w:t xml:space="preserve">全年 </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rPr>
                <w:color w:val="000000"/>
                <w:sz w:val="24"/>
                <w:szCs w:val="24"/>
              </w:rPr>
            </w:pPr>
            <w:r>
              <w:rPr>
                <w:color w:val="000000"/>
                <w:sz w:val="24"/>
                <w:szCs w:val="24"/>
              </w:rPr>
              <w:t>相关科室</w:t>
            </w:r>
          </w:p>
        </w:tc>
      </w:tr>
      <w:tr>
        <w:tblPrEx>
          <w:tblCellMar>
            <w:top w:w="0" w:type="dxa"/>
            <w:left w:w="10" w:type="dxa"/>
            <w:bottom w:w="0" w:type="dxa"/>
            <w:right w:w="10" w:type="dxa"/>
          </w:tblCellMar>
        </w:tblPrEx>
        <w:trPr>
          <w:trHeight w:val="2369" w:hRule="atLeast"/>
        </w:trPr>
        <w:tc>
          <w:tcPr>
            <w:tcW w:w="279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sz w:val="24"/>
                <w:szCs w:val="24"/>
              </w:rPr>
            </w:pPr>
            <w:r>
              <w:rPr>
                <w:color w:val="000000"/>
                <w:sz w:val="24"/>
                <w:szCs w:val="24"/>
              </w:rPr>
              <w:t>6.网络学习</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rPr>
                <w:color w:val="000000"/>
                <w:sz w:val="24"/>
                <w:szCs w:val="24"/>
              </w:rPr>
            </w:pPr>
            <w:r>
              <w:rPr>
                <w:color w:val="000000"/>
                <w:sz w:val="24"/>
                <w:szCs w:val="24"/>
              </w:rPr>
              <w:t>《宪法》《立法法》《国家安全法》等，开展领导干部和国家工作人员年度学法考试</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sz w:val="24"/>
                <w:szCs w:val="24"/>
              </w:rPr>
            </w:pPr>
            <w:r>
              <w:rPr>
                <w:color w:val="000000"/>
                <w:sz w:val="24"/>
                <w:szCs w:val="24"/>
              </w:rPr>
              <w:t>《宪法》《立法法》《国家安全法》等</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sz w:val="24"/>
                <w:szCs w:val="24"/>
              </w:rPr>
            </w:pPr>
            <w:r>
              <w:rPr>
                <w:color w:val="000000"/>
                <w:sz w:val="24"/>
                <w:szCs w:val="24"/>
              </w:rPr>
              <w:t>局全体干部职工</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sz w:val="24"/>
                <w:szCs w:val="24"/>
              </w:rPr>
            </w:pPr>
            <w:r>
              <w:rPr>
                <w:color w:val="000000"/>
                <w:sz w:val="24"/>
                <w:szCs w:val="24"/>
              </w:rPr>
              <w:t>网络学习</w:t>
            </w: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sz w:val="24"/>
                <w:szCs w:val="24"/>
              </w:rPr>
            </w:pPr>
            <w:r>
              <w:rPr>
                <w:sz w:val="24"/>
                <w:szCs w:val="24"/>
              </w:rPr>
              <w:t>全年</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rPr>
                <w:sz w:val="24"/>
                <w:szCs w:val="24"/>
              </w:rPr>
            </w:pPr>
            <w:r>
              <w:rPr>
                <w:sz w:val="24"/>
                <w:szCs w:val="24"/>
              </w:rPr>
              <w:t>人事科、办公室（法规科）</w:t>
            </w:r>
          </w:p>
        </w:tc>
      </w:tr>
      <w:tr>
        <w:tblPrEx>
          <w:tblCellMar>
            <w:top w:w="0" w:type="dxa"/>
            <w:left w:w="10" w:type="dxa"/>
            <w:bottom w:w="0" w:type="dxa"/>
            <w:right w:w="10" w:type="dxa"/>
          </w:tblCellMar>
        </w:tblPrEx>
        <w:trPr>
          <w:trHeight w:val="1" w:hRule="atLeast"/>
        </w:trPr>
        <w:tc>
          <w:tcPr>
            <w:tcW w:w="2793"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sz w:val="24"/>
                <w:szCs w:val="24"/>
              </w:rPr>
            </w:pPr>
            <w:r>
              <w:rPr>
                <w:sz w:val="24"/>
                <w:szCs w:val="24"/>
              </w:rPr>
              <w:t>7.利用法律法规颁布纪念日、行业宣传日、宣传周等重要时间节点开展好与本部门、本系统职能有关的法律法规的社会宣传；组织开展“12·4”国家宪法日宣传活动。</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rPr>
                <w:color w:val="000000"/>
                <w:sz w:val="24"/>
                <w:szCs w:val="24"/>
              </w:rPr>
            </w:pPr>
            <w:r>
              <w:rPr>
                <w:color w:val="000000"/>
                <w:sz w:val="24"/>
                <w:szCs w:val="24"/>
              </w:rPr>
              <w:t>加强“送法下基层”</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40" w:lineRule="auto"/>
              <w:rPr>
                <w:sz w:val="24"/>
                <w:szCs w:val="24"/>
              </w:rPr>
            </w:pPr>
            <w:r>
              <w:rPr>
                <w:color w:val="000000"/>
                <w:sz w:val="24"/>
                <w:szCs w:val="24"/>
              </w:rPr>
              <w:t>强化法律进农村（社区）、进企业、进单位等</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sz w:val="24"/>
                <w:szCs w:val="24"/>
              </w:rPr>
            </w:pPr>
            <w:r>
              <w:rPr>
                <w:color w:val="000000"/>
                <w:sz w:val="24"/>
                <w:szCs w:val="24"/>
              </w:rPr>
              <w:t>农村（社区）、企业、行政事业单位等</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sz w:val="24"/>
                <w:szCs w:val="24"/>
              </w:rPr>
            </w:pPr>
            <w:r>
              <w:rPr>
                <w:color w:val="000000"/>
                <w:sz w:val="24"/>
                <w:szCs w:val="24"/>
              </w:rPr>
              <w:t>专题培训、现场宣传</w:t>
            </w: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sz w:val="24"/>
                <w:szCs w:val="24"/>
              </w:rPr>
            </w:pPr>
            <w:r>
              <w:rPr>
                <w:color w:val="000000"/>
                <w:sz w:val="24"/>
                <w:szCs w:val="24"/>
              </w:rPr>
              <w:t>每半年开展1次</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rPr>
                <w:color w:val="000000"/>
                <w:sz w:val="24"/>
                <w:szCs w:val="24"/>
              </w:rPr>
            </w:pPr>
            <w:r>
              <w:rPr>
                <w:sz w:val="24"/>
                <w:szCs w:val="24"/>
              </w:rPr>
              <w:t>办公室（法规科）</w:t>
            </w:r>
            <w:r>
              <w:rPr>
                <w:color w:val="000000"/>
                <w:spacing w:val="15"/>
                <w:sz w:val="24"/>
                <w:szCs w:val="24"/>
              </w:rPr>
              <w:t>、会计科、预算科、国库科及各支出科</w:t>
            </w:r>
          </w:p>
        </w:tc>
      </w:tr>
      <w:tr>
        <w:tblPrEx>
          <w:tblCellMar>
            <w:top w:w="0" w:type="dxa"/>
            <w:left w:w="10" w:type="dxa"/>
            <w:bottom w:w="0" w:type="dxa"/>
            <w:right w:w="10" w:type="dxa"/>
          </w:tblCellMar>
        </w:tblPrEx>
        <w:trPr>
          <w:trHeight w:val="1" w:hRule="atLeast"/>
        </w:trPr>
        <w:tc>
          <w:tcPr>
            <w:tcW w:w="27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sz w:val="24"/>
                <w:szCs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000000"/>
                <w:spacing w:val="15"/>
                <w:sz w:val="24"/>
                <w:szCs w:val="24"/>
              </w:rPr>
            </w:pPr>
            <w:r>
              <w:rPr>
                <w:color w:val="000000"/>
                <w:spacing w:val="15"/>
                <w:sz w:val="24"/>
                <w:szCs w:val="24"/>
              </w:rPr>
              <w:t>扫黑除恶专项斗争</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color w:val="000000"/>
                <w:spacing w:val="15"/>
                <w:sz w:val="24"/>
                <w:szCs w:val="24"/>
              </w:rPr>
            </w:pPr>
            <w:r>
              <w:rPr>
                <w:color w:val="000000"/>
                <w:spacing w:val="15"/>
                <w:sz w:val="24"/>
                <w:szCs w:val="24"/>
              </w:rPr>
              <w:t>围绕扫黑除恶专项斗争，深入开展法治宣传教育。</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color w:val="000000"/>
                <w:spacing w:val="15"/>
                <w:sz w:val="24"/>
                <w:szCs w:val="24"/>
              </w:rPr>
            </w:pPr>
            <w:r>
              <w:rPr>
                <w:color w:val="000000"/>
                <w:spacing w:val="15"/>
                <w:sz w:val="24"/>
                <w:szCs w:val="24"/>
              </w:rPr>
              <w:t>社会公众、局全体干部职工</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color w:val="000000"/>
                <w:sz w:val="24"/>
                <w:szCs w:val="24"/>
              </w:rPr>
            </w:pPr>
            <w:r>
              <w:rPr>
                <w:color w:val="000000"/>
                <w:sz w:val="24"/>
                <w:szCs w:val="24"/>
              </w:rPr>
              <w:t>按市扫黑办要求广泛开展宣传活动</w:t>
            </w: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color w:val="000000"/>
                <w:sz w:val="24"/>
                <w:szCs w:val="24"/>
              </w:rPr>
            </w:pPr>
            <w:r>
              <w:rPr>
                <w:color w:val="000000"/>
                <w:sz w:val="24"/>
                <w:szCs w:val="24"/>
              </w:rPr>
              <w:t>全年</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rPr>
                <w:color w:val="000000"/>
                <w:spacing w:val="15"/>
                <w:sz w:val="24"/>
                <w:szCs w:val="24"/>
              </w:rPr>
            </w:pPr>
            <w:r>
              <w:rPr>
                <w:color w:val="000000"/>
                <w:spacing w:val="15"/>
                <w:sz w:val="24"/>
                <w:szCs w:val="24"/>
              </w:rPr>
              <w:t xml:space="preserve">人事科、行政事业科 </w:t>
            </w:r>
          </w:p>
        </w:tc>
      </w:tr>
      <w:tr>
        <w:tblPrEx>
          <w:tblCellMar>
            <w:top w:w="0" w:type="dxa"/>
            <w:left w:w="10" w:type="dxa"/>
            <w:bottom w:w="0" w:type="dxa"/>
            <w:right w:w="10" w:type="dxa"/>
          </w:tblCellMar>
        </w:tblPrEx>
        <w:trPr>
          <w:trHeight w:val="3826" w:hRule="atLeast"/>
        </w:trPr>
        <w:tc>
          <w:tcPr>
            <w:tcW w:w="27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sz w:val="24"/>
                <w:szCs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000000"/>
                <w:spacing w:val="15"/>
                <w:sz w:val="24"/>
                <w:szCs w:val="24"/>
              </w:rPr>
            </w:pPr>
            <w:r>
              <w:rPr>
                <w:color w:val="000000"/>
                <w:spacing w:val="15"/>
                <w:sz w:val="24"/>
                <w:szCs w:val="24"/>
              </w:rPr>
              <w:t>宪法日、宪法宣传周的普法宣传</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color w:val="000000"/>
                <w:spacing w:val="15"/>
                <w:sz w:val="24"/>
                <w:szCs w:val="24"/>
              </w:rPr>
            </w:pPr>
            <w:r>
              <w:rPr>
                <w:color w:val="000000"/>
                <w:spacing w:val="15"/>
                <w:sz w:val="24"/>
                <w:szCs w:val="24"/>
              </w:rPr>
              <w:t>围绕重要节点组织开展宪法主题法治宣传活动，营造尊法学法守法用法社会氛围</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color w:val="000000"/>
                <w:spacing w:val="15"/>
                <w:sz w:val="24"/>
                <w:szCs w:val="24"/>
              </w:rPr>
            </w:pPr>
            <w:r>
              <w:rPr>
                <w:color w:val="000000"/>
                <w:spacing w:val="15"/>
                <w:sz w:val="24"/>
                <w:szCs w:val="24"/>
              </w:rPr>
              <w:t>社会公众、局全体干部职工</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color w:val="000000"/>
                <w:sz w:val="24"/>
                <w:szCs w:val="24"/>
              </w:rPr>
            </w:pPr>
            <w:r>
              <w:rPr>
                <w:color w:val="000000"/>
                <w:sz w:val="24"/>
                <w:szCs w:val="24"/>
              </w:rPr>
              <w:t>按照上级有关要求开展相关活动</w:t>
            </w: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color w:val="000000"/>
                <w:sz w:val="24"/>
                <w:szCs w:val="24"/>
              </w:rPr>
            </w:pPr>
            <w:r>
              <w:rPr>
                <w:color w:val="000000"/>
                <w:sz w:val="24"/>
                <w:szCs w:val="24"/>
              </w:rPr>
              <w:t>12月第一周</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rPr>
                <w:color w:val="000000"/>
                <w:spacing w:val="15"/>
                <w:sz w:val="24"/>
                <w:szCs w:val="24"/>
              </w:rPr>
            </w:pPr>
            <w:r>
              <w:rPr>
                <w:sz w:val="24"/>
                <w:szCs w:val="24"/>
              </w:rPr>
              <w:t>办公室（法规科）</w:t>
            </w:r>
          </w:p>
        </w:tc>
      </w:tr>
      <w:tr>
        <w:tblPrEx>
          <w:tblCellMar>
            <w:top w:w="0" w:type="dxa"/>
            <w:left w:w="10" w:type="dxa"/>
            <w:bottom w:w="0" w:type="dxa"/>
            <w:right w:w="10" w:type="dxa"/>
          </w:tblCellMar>
        </w:tblPrEx>
        <w:trPr>
          <w:trHeight w:val="1" w:hRule="atLeast"/>
        </w:trPr>
        <w:tc>
          <w:tcPr>
            <w:tcW w:w="2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sz w:val="24"/>
                <w:szCs w:val="24"/>
              </w:rPr>
            </w:pPr>
            <w:r>
              <w:rPr>
                <w:sz w:val="24"/>
                <w:szCs w:val="24"/>
              </w:rPr>
              <w:t>8.</w:t>
            </w:r>
            <w:r>
              <w:rPr>
                <w:szCs w:val="32"/>
              </w:rPr>
              <w:t xml:space="preserve"> </w:t>
            </w:r>
            <w:r>
              <w:rPr>
                <w:sz w:val="24"/>
                <w:szCs w:val="24"/>
              </w:rPr>
              <w:t>组织一次领导干部旁听案件庭审工作</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000000"/>
                <w:spacing w:val="15"/>
                <w:sz w:val="24"/>
                <w:szCs w:val="24"/>
              </w:rPr>
            </w:pP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color w:val="000000"/>
                <w:spacing w:val="15"/>
                <w:sz w:val="24"/>
                <w:szCs w:val="24"/>
              </w:rPr>
            </w:pPr>
            <w:r>
              <w:rPr>
                <w:color w:val="000000"/>
                <w:spacing w:val="15"/>
                <w:sz w:val="24"/>
                <w:szCs w:val="24"/>
              </w:rPr>
              <w:t>行政诉讼、非诉执行听证、行政执法人员渎职侵权、较典型的贪污贿赂等案件</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color w:val="000000"/>
                <w:sz w:val="24"/>
                <w:szCs w:val="24"/>
              </w:rPr>
            </w:pPr>
            <w:r>
              <w:rPr>
                <w:color w:val="000000"/>
                <w:sz w:val="24"/>
                <w:szCs w:val="24"/>
              </w:rPr>
              <w:t>局党</w:t>
            </w:r>
            <w:r>
              <w:rPr>
                <w:rFonts w:hint="eastAsia"/>
                <w:color w:val="000000"/>
                <w:sz w:val="24"/>
                <w:szCs w:val="24"/>
                <w:lang w:eastAsia="zh-CN"/>
              </w:rPr>
              <w:t>组</w:t>
            </w:r>
          </w:p>
          <w:p>
            <w:pPr>
              <w:spacing w:line="276" w:lineRule="auto"/>
              <w:rPr>
                <w:color w:val="000000"/>
                <w:spacing w:val="15"/>
                <w:sz w:val="24"/>
                <w:szCs w:val="24"/>
              </w:rPr>
            </w:pPr>
            <w:r>
              <w:rPr>
                <w:color w:val="000000"/>
                <w:sz w:val="24"/>
                <w:szCs w:val="24"/>
              </w:rPr>
              <w:t>成员、中层以上领导</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color w:val="000000"/>
                <w:sz w:val="24"/>
                <w:szCs w:val="24"/>
              </w:rPr>
            </w:pPr>
            <w:r>
              <w:rPr>
                <w:color w:val="000000"/>
                <w:sz w:val="24"/>
                <w:szCs w:val="24"/>
              </w:rPr>
              <w:t>按照有关文件、通知要求开展相关活动</w:t>
            </w: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76" w:lineRule="auto"/>
              <w:rPr>
                <w:color w:val="000000"/>
                <w:sz w:val="24"/>
                <w:szCs w:val="24"/>
              </w:rPr>
            </w:pPr>
            <w:r>
              <w:rPr>
                <w:color w:val="000000"/>
                <w:sz w:val="24"/>
                <w:szCs w:val="24"/>
              </w:rPr>
              <w:t>全年</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6" w:lineRule="auto"/>
              <w:rPr>
                <w:color w:val="000000"/>
                <w:spacing w:val="15"/>
                <w:sz w:val="24"/>
                <w:szCs w:val="24"/>
              </w:rPr>
            </w:pPr>
            <w:r>
              <w:rPr>
                <w:sz w:val="24"/>
                <w:szCs w:val="24"/>
              </w:rPr>
              <w:t>办公室（法规科）</w:t>
            </w:r>
          </w:p>
        </w:tc>
      </w:tr>
    </w:tbl>
    <w:p>
      <w:pPr>
        <w:ind w:firstLine="140" w:firstLineChars="50"/>
        <w:rPr>
          <w:sz w:val="28"/>
          <w:szCs w:val="28"/>
        </w:rPr>
      </w:pPr>
    </w:p>
    <w:p>
      <w:pPr>
        <w:ind w:left="105" w:right="105"/>
        <w:rPr>
          <w:szCs w:val="32"/>
        </w:rPr>
      </w:pPr>
    </w:p>
    <w:p>
      <w:pPr>
        <w:ind w:left="105" w:right="105"/>
        <w:rPr>
          <w:szCs w:val="32"/>
        </w:rPr>
      </w:pPr>
    </w:p>
    <w:p>
      <w:pPr>
        <w:ind w:left="105" w:right="105"/>
        <w:rPr>
          <w:szCs w:val="32"/>
        </w:rPr>
      </w:pPr>
    </w:p>
    <w:p>
      <w:pPr>
        <w:ind w:left="105" w:right="105"/>
        <w:rPr>
          <w:szCs w:val="32"/>
        </w:rPr>
      </w:pPr>
    </w:p>
    <w:p>
      <w:pPr>
        <w:ind w:left="105" w:right="105"/>
        <w:rPr>
          <w:szCs w:val="32"/>
        </w:rPr>
      </w:pPr>
    </w:p>
    <w:p>
      <w:pPr>
        <w:ind w:left="105" w:right="105"/>
        <w:rPr>
          <w:szCs w:val="32"/>
        </w:rPr>
      </w:pPr>
    </w:p>
    <w:p>
      <w:pPr>
        <w:ind w:left="105" w:right="105"/>
        <w:rPr>
          <w:szCs w:val="32"/>
        </w:rPr>
      </w:pPr>
    </w:p>
    <w:p>
      <w:pPr>
        <w:ind w:left="105" w:right="105"/>
        <w:rPr>
          <w:szCs w:val="32"/>
        </w:rPr>
      </w:pPr>
    </w:p>
    <w:p>
      <w:pPr>
        <w:ind w:left="105" w:right="105"/>
        <w:rPr>
          <w:szCs w:val="32"/>
        </w:rPr>
      </w:pPr>
    </w:p>
    <w:p>
      <w:pPr>
        <w:ind w:left="105" w:right="105"/>
        <w:rPr>
          <w:szCs w:val="32"/>
        </w:rPr>
      </w:pPr>
    </w:p>
    <w:p>
      <w:pPr>
        <w:ind w:left="105" w:right="105"/>
        <w:rPr>
          <w:szCs w:val="32"/>
        </w:rPr>
      </w:pPr>
    </w:p>
    <w:p>
      <w:pPr>
        <w:ind w:left="105" w:right="105"/>
        <w:rPr>
          <w:szCs w:val="32"/>
        </w:rPr>
      </w:pPr>
    </w:p>
    <w:p>
      <w:pPr>
        <w:ind w:left="105" w:right="105"/>
        <w:rPr>
          <w:szCs w:val="32"/>
        </w:rPr>
        <w:sectPr>
          <w:pgSz w:w="11907" w:h="16840"/>
          <w:pgMar w:top="2098" w:right="1474" w:bottom="1985" w:left="1588" w:header="0" w:footer="1588" w:gutter="0"/>
          <w:pgNumType w:fmt="numberInDash"/>
          <w:cols w:space="425" w:num="1"/>
          <w:docGrid w:linePitch="626" w:charSpace="1638"/>
        </w:sectPr>
      </w:pPr>
    </w:p>
    <w:p>
      <w:pPr>
        <w:rPr>
          <w:szCs w:val="32"/>
        </w:rPr>
      </w:pPr>
    </w:p>
    <w:p>
      <w:pPr>
        <w:rPr>
          <w:szCs w:val="32"/>
        </w:rPr>
      </w:pPr>
    </w:p>
    <w:p>
      <w:pPr>
        <w:snapToGrid w:val="0"/>
        <w:ind w:firstLine="160" w:firstLineChars="50"/>
        <w:jc w:val="left"/>
        <w:rPr>
          <w:sz w:val="28"/>
          <w:szCs w:val="28"/>
        </w:rPr>
      </w:pPr>
      <w:r>
        <w:pict>
          <v:group id="_x0000_s1028" o:spid="_x0000_s1028" o:spt="203" style="position:absolute;left:0pt;margin-left:-5.4pt;margin-top:19.8pt;height:30.6pt;width:442.2pt;z-index:251661312;mso-width-relative:page;mso-height-relative:page;" coordorigin="1483,11473" coordsize="9030,612" o:allowincell="f">
            <o:lock v:ext="edit"/>
            <v:line id="_x0000_s1029" o:spid="_x0000_s1029" o:spt="20" style="position:absolute;left:1483;top:12085;height:0;width:9030;" coordsize="21600,21600">
              <v:path arrowok="t"/>
              <v:fill focussize="0,0"/>
              <v:stroke/>
              <v:imagedata o:title=""/>
              <o:lock v:ext="edit"/>
            </v:line>
            <v:line id="_x0000_s1030" o:spid="_x0000_s1030" o:spt="20" style="position:absolute;left:1483;top:11473;height:0;width:9030;" coordsize="21600,21600">
              <v:path arrowok="t"/>
              <v:fill focussize="0,0"/>
              <v:stroke/>
              <v:imagedata o:title=""/>
              <o:lock v:ext="edit"/>
            </v:line>
          </v:group>
        </w:pict>
      </w:r>
    </w:p>
    <w:p>
      <w:pPr>
        <w:snapToGrid w:val="0"/>
        <w:ind w:firstLine="140" w:firstLineChars="50"/>
        <w:jc w:val="left"/>
      </w:pPr>
      <w:r>
        <w:rPr>
          <w:sz w:val="28"/>
          <w:szCs w:val="28"/>
        </w:rPr>
        <w:t>佛山市财政局办公室                      2020年4月</w:t>
      </w:r>
      <w:r>
        <w:rPr>
          <w:rFonts w:hint="eastAsia"/>
          <w:sz w:val="28"/>
          <w:szCs w:val="28"/>
        </w:rPr>
        <w:t>23</w:t>
      </w:r>
      <w:r>
        <w:rPr>
          <w:sz w:val="28"/>
          <w:szCs w:val="28"/>
        </w:rPr>
        <w:t>日印发</w:t>
      </w:r>
    </w:p>
    <w:sectPr>
      <w:pgSz w:w="11907" w:h="16840"/>
      <w:pgMar w:top="12474" w:right="1474" w:bottom="1985" w:left="1588" w:header="0" w:footer="1588" w:gutter="0"/>
      <w:pgNumType w:fmt="numberInDash"/>
      <w:cols w:space="425" w:num="1"/>
      <w:docGrid w:linePitch="626"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华康简标题宋">
    <w:altName w:val="方正书宋_GBK"/>
    <w:panose1 w:val="00000000000000000000"/>
    <w:charset w:val="86"/>
    <w:family w:val="modern"/>
    <w:pitch w:val="default"/>
    <w:sig w:usb0="00000000" w:usb1="00000000" w:usb2="0000001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仿宋_GB2312"/>
        <w:sz w:val="28"/>
        <w:szCs w:val="28"/>
      </w:rPr>
    </w:pPr>
    <w:bookmarkStart w:id="0" w:name="OLE_LINK1"/>
    <w:r>
      <w:rPr>
        <w:rStyle w:val="8"/>
        <w:rFonts w:hint="eastAsia" w:ascii="仿宋_GB2312"/>
        <w:sz w:val="28"/>
        <w:szCs w:val="28"/>
      </w:rPr>
      <w:fldChar w:fldCharType="begin"/>
    </w:r>
    <w:r>
      <w:rPr>
        <w:rStyle w:val="8"/>
        <w:rFonts w:hint="eastAsia" w:ascii="仿宋_GB2312"/>
        <w:sz w:val="28"/>
        <w:szCs w:val="28"/>
      </w:rPr>
      <w:instrText xml:space="preserve">PAGE  </w:instrText>
    </w:r>
    <w:r>
      <w:rPr>
        <w:rStyle w:val="8"/>
        <w:rFonts w:hint="eastAsia" w:ascii="仿宋_GB2312"/>
        <w:sz w:val="28"/>
        <w:szCs w:val="28"/>
      </w:rPr>
      <w:fldChar w:fldCharType="separate"/>
    </w:r>
    <w:r>
      <w:rPr>
        <w:rStyle w:val="8"/>
        <w:rFonts w:ascii="仿宋_GB2312"/>
        <w:sz w:val="28"/>
        <w:szCs w:val="28"/>
      </w:rPr>
      <w:t>- 12 -</w:t>
    </w:r>
    <w:r>
      <w:rPr>
        <w:rStyle w:val="8"/>
        <w:rFonts w:hint="eastAsia" w:ascii="仿宋_GB2312"/>
        <w:sz w:val="28"/>
        <w:szCs w:val="28"/>
      </w:rPr>
      <w:fldChar w:fldCharType="end"/>
    </w:r>
  </w:p>
  <w:bookmarkEnd w:id="0"/>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separate"/>
    </w:r>
    <w:r>
      <w:rPr>
        <w:rStyle w:val="8"/>
      </w:rPr>
      <w:t>- 8 -</w:t>
    </w:r>
    <w:r>
      <w:rPr>
        <w:rStyle w:val="8"/>
      </w:rPr>
      <w:fldChar w:fldCharType="end"/>
    </w:r>
  </w:p>
  <w:p>
    <w:pPr>
      <w:pStyle w:val="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5"/>
  <w:drawingGridHorizontalSpacing w:val="327"/>
  <w:drawingGridVerticalSpacing w:val="31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77E"/>
    <w:rsid w:val="00032837"/>
    <w:rsid w:val="00057402"/>
    <w:rsid w:val="00077245"/>
    <w:rsid w:val="000A708B"/>
    <w:rsid w:val="000D27B7"/>
    <w:rsid w:val="0015007B"/>
    <w:rsid w:val="001658B8"/>
    <w:rsid w:val="00196E00"/>
    <w:rsid w:val="001A0A30"/>
    <w:rsid w:val="001F7655"/>
    <w:rsid w:val="002244FC"/>
    <w:rsid w:val="0024673F"/>
    <w:rsid w:val="0033408E"/>
    <w:rsid w:val="003B45F8"/>
    <w:rsid w:val="003B6FE1"/>
    <w:rsid w:val="00460450"/>
    <w:rsid w:val="005453FB"/>
    <w:rsid w:val="005950A4"/>
    <w:rsid w:val="005967F5"/>
    <w:rsid w:val="00634D5B"/>
    <w:rsid w:val="006736DC"/>
    <w:rsid w:val="00724B1A"/>
    <w:rsid w:val="00735C4E"/>
    <w:rsid w:val="00771007"/>
    <w:rsid w:val="007B3E73"/>
    <w:rsid w:val="00824685"/>
    <w:rsid w:val="00843AD9"/>
    <w:rsid w:val="00856105"/>
    <w:rsid w:val="0088114F"/>
    <w:rsid w:val="00887CE2"/>
    <w:rsid w:val="008E7C45"/>
    <w:rsid w:val="00920094"/>
    <w:rsid w:val="009206AE"/>
    <w:rsid w:val="009A0D91"/>
    <w:rsid w:val="00A85161"/>
    <w:rsid w:val="00AA0A5E"/>
    <w:rsid w:val="00AA17F5"/>
    <w:rsid w:val="00AD0759"/>
    <w:rsid w:val="00B56352"/>
    <w:rsid w:val="00BC1C8A"/>
    <w:rsid w:val="00BC777E"/>
    <w:rsid w:val="00BD1963"/>
    <w:rsid w:val="00BE534C"/>
    <w:rsid w:val="00BE7CB7"/>
    <w:rsid w:val="00C4456C"/>
    <w:rsid w:val="00CA4B1D"/>
    <w:rsid w:val="00D070C0"/>
    <w:rsid w:val="00D0781E"/>
    <w:rsid w:val="00D31493"/>
    <w:rsid w:val="00D339FA"/>
    <w:rsid w:val="00E03D4D"/>
    <w:rsid w:val="00E16687"/>
    <w:rsid w:val="00E2644D"/>
    <w:rsid w:val="00E34ECB"/>
    <w:rsid w:val="00E37127"/>
    <w:rsid w:val="00E71E55"/>
    <w:rsid w:val="00E9030F"/>
    <w:rsid w:val="00FB6C92"/>
    <w:rsid w:val="1E913DDB"/>
    <w:rsid w:val="A3BB711F"/>
    <w:rsid w:val="DEB79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仿宋_GB2312" w:cs="Times New Roman"/>
      <w:kern w:val="2"/>
      <w:sz w:val="3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spacing w:line="240" w:lineRule="auto"/>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5">
    <w:name w:val="Title"/>
    <w:basedOn w:val="1"/>
    <w:qFormat/>
    <w:uiPriority w:val="0"/>
    <w:pPr>
      <w:spacing w:before="240" w:after="60"/>
      <w:jc w:val="center"/>
      <w:outlineLvl w:val="0"/>
    </w:pPr>
    <w:rPr>
      <w:rFonts w:ascii="Arial" w:hAnsi="Arial" w:eastAsia="华康简标题宋"/>
      <w:sz w:val="36"/>
    </w:rPr>
  </w:style>
  <w:style w:type="character" w:styleId="8">
    <w:name w:val="page number"/>
    <w:basedOn w:val="7"/>
    <w:qFormat/>
    <w:uiPriority w:val="0"/>
  </w:style>
  <w:style w:type="paragraph" w:customStyle="1" w:styleId="9">
    <w:name w:val="办公自动化专用标题"/>
    <w:basedOn w:val="5"/>
    <w:qFormat/>
    <w:uiPriority w:val="0"/>
    <w:rPr>
      <w:rFonts w:eastAsia="黑体"/>
      <w:sz w:val="32"/>
    </w:rPr>
  </w:style>
  <w:style w:type="paragraph" w:customStyle="1" w:styleId="10">
    <w:name w:val="办公自动化专用正文"/>
    <w:basedOn w:val="1"/>
    <w:qFormat/>
    <w:uiPriority w:val="0"/>
    <w:pPr>
      <w:spacing w:line="500" w:lineRule="atLeast"/>
      <w:ind w:firstLine="624"/>
    </w:pPr>
    <w:rPr>
      <w:rFonts w:eastAsia="楷体_GB231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7"/>
    <customShpInfo spid="_x0000_s1026"/>
    <customShpInfo spid="_x0000_s1029"/>
    <customShpInfo spid="_x0000_s1030"/>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3863</Words>
  <Characters>340</Characters>
  <Lines>2</Lines>
  <Paragraphs>8</Paragraphs>
  <TotalTime>3</TotalTime>
  <ScaleCrop>false</ScaleCrop>
  <LinksUpToDate>false</LinksUpToDate>
  <CharactersWithSpaces>4195</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2017-10-17T22:27:00Z</dcterms:created>
  <dc:creator>系统管理员</dc:creator>
  <cp:lastModifiedBy>inspur</cp:lastModifiedBy>
  <cp:lastPrinted>2020-04-28T18:42:00Z</cp:lastPrinted>
  <dcterms:modified xsi:type="dcterms:W3CDTF">2022-09-02T16:08:22Z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